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34dfce8e24ff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5381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226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LEGISLATORS—LETTERS OF RECOMMENDATION OR CONGRATULATIONS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5381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2023 3:33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2,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5381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Braun, Pedersen, Boehnke, Conway, Dhingra, Hunt, Keiser, King, Kuderer, Nguyen, Randall, Saldaña, Warnick, C. Wilson, and J. Wilson)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letters of recommendation or congratulations sent by legislators; and adding a new section to chapter 42.52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not a violation of this chapter for a legislator to send by mail or email: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letter of recommendation on behalf of an individual constituent if the constituent has requested the letter;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congratulatory letter to an individual constituent who has received an award or honor of extraordinary distinction of a type that is sufficiently infrequent to be noteworthy to a reasonable person including, but not limited to: (a) An international or national award such as the Nobel prize or the Pulitzer prize; (b) a state award such as Washington scholar; (c) an Eagle Scout award; or (d) a Medal of Honor;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when under a mailing restriction as provided in RCW 42.52.185, a congratulatory letter to an individual constituent who has received an honor or award if the individual or a third party on the individual's behalf has requested the letter.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2, 2023.</w:t>
      </w:r>
    </w:p>
    <w:sectPr>
      <w:pgNumType w:start="1"/>
      <w:footerReference xmlns:r="http://schemas.openxmlformats.org/officeDocument/2006/relationships" r:id="Rd34627f0065d4df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5381.SL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e5c03bde40b2" /><Relationship Type="http://schemas.openxmlformats.org/officeDocument/2006/relationships/footer" Target="/word/footer1.xml" Id="Rd34627f0065d4dff" /></Relationships>
</file>