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2aec0f55da4a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5385</w:t>
      </w:r>
    </w:p>
    <w:p>
      <w:pPr>
        <w:jc w:val="center"/>
        <w:spacing w:before="480" w:after="0" w:line="240"/>
      </w:pPr>
      <w:r>
        <w:t xml:space="preserve">Chapter </w:t>
      </w:r>
      <w:r>
        <w:rPr/>
        <w:t xml:space="preserve">97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WORKS—HIGHER EDUCATION BID LIMITS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5385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Liias, Holy, Saldaña, Shewmake, and C. Wilson</w:t>
      </w:r>
    </w:p>
    <w:p/>
    <w:p>
      <w:r>
        <w:rPr>
          <w:t xml:space="preserve">Read first time 01/16/23.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institutions of higher education; and amending RCW 28B.10.350 and 28B.50.330.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w:t>
      </w:r>
      <w:r>
        <w:t>((</w:t>
      </w:r>
      <w:r>
        <w:rPr>
          <w:strike/>
        </w:rPr>
        <w:t xml:space="preserve">ninety thousand dollars</w:t>
      </w:r>
      <w:r>
        <w:t>))</w:t>
      </w:r>
      <w:r>
        <w:rPr/>
        <w:t xml:space="preserve"> </w:t>
      </w:r>
      <w:r>
        <w:rPr>
          <w:u w:val="single"/>
        </w:rPr>
        <w:t xml:space="preserve">$110,000</w:t>
      </w:r>
      <w:r>
        <w:rPr/>
        <w:t xml:space="preserve"> or the contract is awarded by the small works roster procedure authorized in RCW 39.04.155,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RCW 39.04.155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RCW 39.04.155.</w:t>
      </w:r>
    </w:p>
    <w:p>
      <w:pPr>
        <w:spacing w:before="0" w:after="0" w:line="408" w:lineRule="exact"/>
        <w:ind w:left="0" w:right="0" w:firstLine="576"/>
        <w:jc w:val="left"/>
      </w:pPr>
      <w:r>
        <w:rPr/>
        <w:t xml:space="preserve">(3) Where the estimated cost to any college of any building, improvements, or repairs, or other work, is less than </w:t>
      </w:r>
      <w:r>
        <w:t>((</w:t>
      </w:r>
      <w:r>
        <w:rPr>
          <w:strike/>
        </w:rPr>
        <w:t xml:space="preserve">ninety thousand dollars</w:t>
      </w:r>
      <w:r>
        <w:t>))</w:t>
      </w:r>
      <w:r>
        <w:rPr/>
        <w:t xml:space="preserve"> </w:t>
      </w:r>
      <w:r>
        <w:rPr>
          <w:u w:val="single"/>
        </w:rPr>
        <w:t xml:space="preserve">$110,000</w:t>
      </w:r>
      <w:r>
        <w:rPr/>
        <w:t xml:space="preserve">, or </w:t>
      </w:r>
      <w:r>
        <w:t>((</w:t>
      </w:r>
      <w:r>
        <w:rPr>
          <w:strike/>
        </w:rPr>
        <w:t xml:space="preserve">forty-five thousand dollars</w:t>
      </w:r>
      <w:r>
        <w:t>))</w:t>
      </w:r>
      <w:r>
        <w:rPr/>
        <w:t xml:space="preserve"> </w:t>
      </w:r>
      <w:r>
        <w:rPr>
          <w:u w:val="single"/>
        </w:rPr>
        <w:t xml:space="preserve">$90,000</w:t>
      </w:r>
      <w:r>
        <w:rPr/>
        <w:t xml:space="preserve"> if the work involves one trade or craft area, the publication requirements of RCW 39.04.020 do not apply.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a86fcf17a459473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3932a49734e99" /><Relationship Type="http://schemas.openxmlformats.org/officeDocument/2006/relationships/footer" Target="/word/footer1.xml" Id="Ra86fcf17a459473d" /></Relationships>
</file>