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ecb9fb5b5440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5392</w:t>
      </w:r>
    </w:p>
    <w:p>
      <w:pPr>
        <w:jc w:val="center"/>
        <w:spacing w:before="480" w:after="0" w:line="240"/>
      </w:pPr>
      <w:r>
        <w:t xml:space="preserve">Chapter </w:t>
      </w:r>
      <w:r>
        <w:rPr/>
        <w:t xml:space="preserve">278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COURTS—OVERPAYMENTS OF LESS THAN TEN DOLLARS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5392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Schoesler and Pedersen</w:t>
      </w:r>
    </w:p>
    <w:p/>
    <w:p>
      <w:r>
        <w:rPr>
          <w:t xml:space="preserve">Read first time 01/16/23.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overpayments for certain matters; and amending RCW 63.30.270.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270</w:t>
      </w:r>
      <w:r>
        <w:rPr/>
        <w:t xml:space="preserve"> and 2022 c 225 s 406 are each amended to read as follows:</w:t>
      </w:r>
    </w:p>
    <w:p>
      <w:pPr>
        <w:spacing w:before="0" w:after="0" w:line="408" w:lineRule="exact"/>
        <w:ind w:left="0" w:right="0" w:firstLine="576"/>
        <w:jc w:val="left"/>
      </w:pP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section and RCW 63.30.220 through 63.30.260 and the administrator must publish the information as provided in RCW 63.30.300.</w:t>
      </w:r>
    </w:p>
    <w:p>
      <w:pPr>
        <w:spacing w:before="0" w:after="0" w:line="408" w:lineRule="exact"/>
        <w:ind w:left="0" w:right="0" w:firstLine="576"/>
        <w:jc w:val="left"/>
      </w:pPr>
      <w:r>
        <w:rPr>
          <w:u w:val="single"/>
        </w:rPr>
        <w:t xml:space="preserve">(3) Courts may retain overpayments made in connection with any litigation, including traffic, criminal, and noncriminal matters, for amounts less than or equal to $10. These overpayments shall be remitted by the clerk of the court to the local treasurer for deposit in the local current expense fund.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22,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710c1db7b8ae468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a9e6a96e3d4636" /><Relationship Type="http://schemas.openxmlformats.org/officeDocument/2006/relationships/footer" Target="/word/footer1.xml" Id="R710c1db7b8ae4681" /></Relationships>
</file>