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24b4ec67b42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5399</w:t>
      </w:r>
    </w:p>
    <w:p>
      <w:pPr>
        <w:jc w:val="center"/>
        <w:spacing w:before="480" w:after="0" w:line="240"/>
      </w:pPr>
      <w:r>
        <w:t xml:space="preserve">Chapter </w:t>
      </w:r>
      <w:r>
        <w:rPr/>
        <w:t xml:space="preserve">367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REAL ESTATE—FUTURE LISTING RIGHT PURCHASE CONTRACTS</w:t>
      </w:r>
    </w:p>
    <w:p>
      <w:pPr>
        <w:spacing w:before="720" w:after="240" w:line="240" w:lineRule="exact"/>
        <w:ind w:left="0" w:right="0" w:firstLine="0"/>
        <w:jc w:val="center"/>
      </w:pPr>
      <w:r>
        <w:t xml:space="preserve">EFFECTIVE DATE: </w:t>
      </w:r>
      <w:r>
        <w:rPr/>
        <w:t xml:space="preserve">May 9,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Mullet and Dozier)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future listing right purchase contracts; adding a new chapter to Title 61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future listing right purchase contract shall exceed five years duration and may not be renewed or extended. A future listing right purchase contract:</w:t>
      </w:r>
    </w:p>
    <w:p>
      <w:pPr>
        <w:spacing w:before="0" w:after="0" w:line="408" w:lineRule="exact"/>
        <w:ind w:left="0" w:right="0" w:firstLine="576"/>
        <w:jc w:val="left"/>
      </w:pPr>
      <w:r>
        <w:rPr/>
        <w:t xml:space="preserve">(a) Shall not be used as a lien against the real property;</w:t>
      </w:r>
    </w:p>
    <w:p>
      <w:pPr>
        <w:spacing w:before="0" w:after="0" w:line="408" w:lineRule="exact"/>
        <w:ind w:left="0" w:right="0" w:firstLine="576"/>
        <w:jc w:val="left"/>
      </w:pPr>
      <w:r>
        <w:rPr/>
        <w:t xml:space="preserve">(b) Shall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(c) May be canceled by the owner without penalty or further obligation within 10 business days after execution of the contract by owner sending notice of cancellation to the other party by mail, telegram, or other means of written communication along with the full amount of any consideration paid to the owner. Notice of cancellation is considered given when mailed, when filed for telegraphic transmission, or, if sent by other means, when delivered to the other party's designated place of business. Such cancellation right shall be set forth clearly in bold type font in the future listing right purchase contract;</w:t>
      </w:r>
    </w:p>
    <w:p>
      <w:pPr>
        <w:spacing w:before="0" w:after="0" w:line="408" w:lineRule="exact"/>
        <w:ind w:left="0" w:right="0" w:firstLine="576"/>
        <w:jc w:val="left"/>
      </w:pPr>
      <w:r>
        <w:rPr/>
        <w:t xml:space="preserve">(d) Shall set forth clearly in bold type font that the owner may not be compelled to list the owner's property.</w:t>
      </w:r>
    </w:p>
    <w:p>
      <w:pPr>
        <w:spacing w:before="0" w:after="0" w:line="408" w:lineRule="exact"/>
        <w:ind w:left="0" w:right="0" w:firstLine="576"/>
        <w:jc w:val="left"/>
      </w:pPr>
      <w:r>
        <w:rPr/>
        <w:t xml:space="preserve">(2)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a "future listing right purchase contract" means a contract granting an exclusive right to list residential real estate for sale in the future and includes, but is not limited to, any document recorded in the county where the real estate is located relating to the contract including the contract itself, a memorandum concerning the contract, or a deed of trust to secure the terms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real estate commission established under chapter 18.85 RCW shall convene a work group to examine practices used by real estate brokerage companies to market, establish, and enforce future listing right purchase contracts in order to provide recommendations for consumer protections and potential regulations, including potential licensing requirements. The work group shall be staffed by the department of licensing and include representatives from associations that represent real estate brokers, real estate brokerage companies who offer future listing right purchase contracts, and other entities that the Washington real estate commission deems appropriate. The commission shall report back to the appropriate committees of the legislature in accordance with RCW 43.01.036 by December 1, 2024, with the work group's findings and recommendations.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088e14c2d2fd41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2fc74e4e24663" /><Relationship Type="http://schemas.openxmlformats.org/officeDocument/2006/relationships/footer" Target="/word/footer1.xml" Id="R088e14c2d2fd41d8" /></Relationships>
</file>