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23c28f96744a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5436</w:t>
      </w:r>
    </w:p>
    <w:p>
      <w:pPr>
        <w:jc w:val="center"/>
        <w:spacing w:before="480" w:after="0" w:line="240"/>
      </w:pPr>
      <w:r>
        <w:t xml:space="preserve">Chapter </w:t>
      </w:r>
      <w:r>
        <w:rPr/>
        <w:t xml:space="preserve">403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FIREARMS—TRANSFERS TO MUSEUMS AND HISTORICAL SOCIETIES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J. Wilson, Dozier, and Fortunato)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transfers of firearms to museums and historical societies;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(j)(i) A transfer, loan, gift, or bequest to a museum or historical society, or the return of loaned firearm(s) to its lender from a museum or historical society, and museum personnel while acting in the scope of their official duties, provided, however, that before returning a loaned firearm to its lender, a museum or historical society or personnel of the museum or historical society must comply with the requirements of subsection (3) of this section</w:t>
      </w:r>
      <w:r>
        <w:rPr/>
        <w:t xml:space="preserve">.</w:t>
      </w:r>
    </w:p>
    <w:p>
      <w:pPr>
        <w:spacing w:before="0" w:after="0" w:line="408" w:lineRule="exact"/>
        <w:ind w:left="0" w:right="0" w:firstLine="576"/>
        <w:jc w:val="left"/>
      </w:pPr>
      <w:r>
        <w:rPr>
          <w:u w:val="single"/>
        </w:rPr>
        <w:t xml:space="preserve">(ii) For the purposes of this subsection (j), "museum or historical society" means the same as in RCW 63.26.010 and is designated as a nonprofit organization under section 501(c)(3) of the internal revenue code.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9140ab4c16cf4b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e46d732b9d4673" /><Relationship Type="http://schemas.openxmlformats.org/officeDocument/2006/relationships/footer" Target="/word/footer1.xml" Id="R9140ab4c16cf4b8e" /></Relationships>
</file>