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d0849cfab42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5437</w:t>
      </w:r>
    </w:p>
    <w:p>
      <w:pPr>
        <w:jc w:val="center"/>
        <w:spacing w:before="480" w:after="0" w:line="240"/>
      </w:pPr>
      <w:r>
        <w:t xml:space="preserve">Chapter </w:t>
      </w:r>
      <w:r>
        <w:rPr/>
        <w:t xml:space="preserve">369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SPECIAL PURPOSE DISTRICTS—GOVERNING BODY VACANCIES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MacEwen and Hunt)</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vacancies of the governing body of special purpose districts; amending RCW 42.12.070, 43.06.010, and 70.44.056; and adding a new section to chapter 42.12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rPr>
          <w:u w:val="single"/>
        </w:rPr>
        <w:t xml:space="preserve">qualifying</w:t>
      </w:r>
      <w:r>
        <w:rPr/>
        <w:t xml:space="preserve"> special purpose district </w:t>
      </w:r>
      <w:r>
        <w:t>((</w:t>
      </w:r>
      <w:r>
        <w:rPr>
          <w:strike/>
        </w:rPr>
        <w:t xml:space="preserve">where property ownership is not a qualification to vote</w:t>
      </w:r>
      <w:r>
        <w:t>))</w:t>
      </w:r>
      <w:r>
        <w:rPr/>
        <w:t xml:space="preserve">, a town, or a city other than a first-class city or a charter code city, shall be filled as follows unless the provisions of law relating to the </w:t>
      </w:r>
      <w:r>
        <w:rPr>
          <w:u w:val="single"/>
        </w:rPr>
        <w:t xml:space="preserve">qualifying</w:t>
      </w:r>
      <w:r>
        <w:rPr/>
        <w:t xml:space="preserve"> special </w:t>
      </w:r>
      <w:r>
        <w:rPr>
          <w:u w:val="single"/>
        </w:rPr>
        <w:t xml:space="preserve">purpose</w:t>
      </w:r>
      <w:r>
        <w:rPr/>
        <w:t xml:space="preserve"> district, town,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 town, or </w:t>
      </w:r>
      <w:r>
        <w:rPr>
          <w:u w:val="single"/>
        </w:rPr>
        <w:t xml:space="preserve">qualifying</w:t>
      </w:r>
      <w:r>
        <w:rPr/>
        <w:t xml:space="preserve"> special </w:t>
      </w:r>
      <w:r>
        <w:rPr>
          <w:u w:val="single"/>
        </w:rPr>
        <w:t xml:space="preserve">purpose</w:t>
      </w:r>
      <w:r>
        <w:rPr/>
        <w:t xml:space="preserv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0" w:after="0" w:line="408" w:lineRule="exact"/>
        <w:ind w:left="0" w:right="0" w:firstLine="576"/>
        <w:jc w:val="left"/>
      </w:pPr>
      <w:r>
        <w:rPr>
          <w:u w:val="single"/>
        </w:rPr>
        <w:t xml:space="preserve">(7) For purposes of this section, "qualifying special purpose district" means a fire protection district created under chapter 52.02 RCW with assessed values under $5,000,000,000 and a regional fire protection service authority created under chapter 52.26 RCW with assessed values under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or that is not a qualifying special purpose district defined in RCW 42.12.070, shall be filled as follows unless the provisions of law relating to the special purpose district provide otherwise:</w:t>
      </w:r>
    </w:p>
    <w:p>
      <w:pPr>
        <w:spacing w:before="0" w:after="0" w:line="408" w:lineRule="exact"/>
        <w:ind w:left="0" w:right="0" w:firstLine="576"/>
        <w:jc w:val="left"/>
      </w:pPr>
      <w:r>
        <w:rPr/>
        <w:t xml:space="preserve">(1) After a vacancy occurs, the remaining members of the governing body must nominate at least one candidate at a meeting of the governing body. The governing body must then cause notice of the vacancy and the name of the nominated candidate or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w:t>
      </w:r>
    </w:p>
    <w:p>
      <w:pPr>
        <w:spacing w:before="0" w:after="0" w:line="408" w:lineRule="exact"/>
        <w:ind w:left="0" w:right="0" w:firstLine="576"/>
        <w:jc w:val="left"/>
      </w:pPr>
      <w:r>
        <w:rPr/>
        <w:t xml:space="preserve">(2) After the notice period described in subsection (1) of this section, the remaining members of the governing body shall appoint a qualified person to fill the vacant position from the candidates nominated by either the governing body or the public at a meeting of the governing body.</w:t>
      </w:r>
    </w:p>
    <w:p>
      <w:pPr>
        <w:spacing w:before="0" w:after="0" w:line="408" w:lineRule="exact"/>
        <w:ind w:left="0" w:right="0" w:firstLine="576"/>
        <w:jc w:val="left"/>
      </w:pPr>
      <w:r>
        <w:rPr/>
        <w:t xml:space="preserve">(3) Where two or more positions are vacant and two or more members of the governing body remain in office, the remaining members of the governing body shall appoint a qualified person to fill one of the vacant positions under the nomination process described in subsection (1) of this section, the remaining members of the governing body and the newly appointed person shall appoint another qualified person to fill another vacant position under the nomination process described in subsection (1) of this section,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(4) If less than two members of a governing body remain in office, the county legislative authority of the county in which all or the largest geographic portion of the special purpose district is located shall appoint a qualified person or persons to the governing body until the governing body has two members.</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purpose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purpose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f57eff4997644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1b2bb491b4e91" /><Relationship Type="http://schemas.openxmlformats.org/officeDocument/2006/relationships/footer" Target="/word/footer1.xml" Id="Rcf57eff499764484" /></Relationships>
</file>