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3cab096d74f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5440</w:t>
      </w:r>
    </w:p>
    <w:p>
      <w:pPr>
        <w:jc w:val="center"/>
        <w:spacing w:before="480" w:after="0" w:line="240"/>
      </w:pPr>
      <w:r>
        <w:t xml:space="preserve">Chapter </w:t>
      </w:r>
      <w:r>
        <w:rPr/>
        <w:t xml:space="preserve">453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FORENSIC BEHAVIORAL HEALTH—COMPETENCY EVALUATIONS AND RESTORATION SERVICES—VARIOUS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7 and 9, which take effect May 15, 2023; and section 13, which takes effect December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43</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79</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5440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1:53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Dhingra, Nguyen, Saldaña, Valdez, Van De Wege,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10.77.060, 10.77.068, 10.77.074, 10.77.084, 10.77.086, 10.77.086, 10.77.088, 10.77.092, 10.77.065, 71.05.235, 71.05.280, 71.05.290, 71.05.300, 71.05.425, 71.09.025, 71.09.030, and 71.09.060; reenacting and amending RCW 10.77.010; adding new sections to chapter 10.77 RCW; creating new sections;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w:t>
      </w:r>
      <w:r>
        <w:t>((</w:t>
      </w:r>
      <w:r>
        <w:rPr>
          <w:strike/>
        </w:rPr>
        <w:t xml:space="preserve">suffers from</w:t>
      </w:r>
      <w:r>
        <w:t>))</w:t>
      </w:r>
      <w:r>
        <w:rPr/>
        <w:t xml:space="preserve"> </w:t>
      </w:r>
      <w:r>
        <w:rPr>
          <w:u w:val="single"/>
        </w:rPr>
        <w:t xml:space="preserve">has</w:t>
      </w:r>
      <w:r>
        <w:rPr/>
        <w:t xml:space="preserve">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competency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10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(e)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w:t>
      </w:r>
      <w:r>
        <w:t>((</w:t>
      </w:r>
      <w:r>
        <w:rPr>
          <w:strike/>
        </w:rPr>
        <w:t xml:space="preserve">At</w:t>
      </w:r>
      <w:r>
        <w:t>))</w:t>
      </w:r>
      <w:r>
        <w:rPr/>
        <w:t xml:space="preserve"> </w:t>
      </w:r>
      <w:r>
        <w:rPr>
          <w:u w:val="single"/>
        </w:rPr>
        <w:t xml:space="preserve">(a)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 Except as otherwise provided in this section, if</w:t>
      </w:r>
      <w:r>
        <w:rPr/>
        <w:t xml:space="preserve">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u w:val="single"/>
        </w:rPr>
        <w:t xml:space="preserve">(2)</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w:t>
      </w:r>
      <w:r>
        <w:rPr>
          <w:u w:val="single"/>
        </w:rPr>
        <w:t xml:space="preserve">the defendant is ineligible for a subsequent competency restoration period under subsection (4) of this section or</w:t>
      </w:r>
      <w:r>
        <w:rPr/>
        <w:t xml:space="preserve">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 At</w:t>
      </w:r>
      <w:r>
        <w:t>))</w:t>
      </w:r>
      <w:r>
        <w:rPr/>
        <w:t xml:space="preserve"> </w:t>
      </w:r>
      <w:r>
        <w:rPr>
          <w:u w:val="single"/>
        </w:rPr>
        <w:t xml:space="preserve">(7)(a)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(4)</w:t>
      </w:r>
      <w:r>
        <w:t>))</w:t>
      </w:r>
      <w:r>
        <w:rPr/>
        <w:t xml:space="preserve"> </w:t>
      </w:r>
      <w:r>
        <w:rPr>
          <w:u w:val="single"/>
        </w:rPr>
        <w:t xml:space="preserve">(3) 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w:t>
      </w:r>
      <w:r>
        <w:rPr>
          <w:u w:val="single"/>
        </w:rPr>
        <w:t xml:space="preserve">,</w:t>
      </w:r>
      <w:r>
        <w:rPr/>
        <w:t xml:space="preserve">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w:t>
      </w:r>
      <w:r>
        <w:rPr>
          <w:u w:val="single"/>
        </w:rPr>
        <w:t xml:space="preserve">defendant is eligible for a second or third competency restoration period under subsection (6) of this section and the</w:t>
      </w:r>
      <w:r>
        <w:rPr/>
        <w:t xml:space="preserv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w:t>
      </w:r>
      <w:r>
        <w:rPr>
          <w:u w:val="single"/>
        </w:rPr>
        <w:t xml:space="preserve">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w:t>
      </w:r>
      <w:r>
        <w:rPr/>
        <w:t xml:space="preserve">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(6)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w:t>
      </w:r>
      <w:r>
        <w:rPr>
          <w:u w:val="single"/>
        </w:rPr>
        <w:t xml:space="preserve">If the defendant is subject to an order under chapter 71.05 RCW or proceedings under chapter 71.05 RCW have been initiated, there is a rebuttable presumption that there is no compelling state interest in ordering competency restoration treatment.</w:t>
      </w:r>
      <w:r>
        <w:rPr/>
        <w:t xml:space="preserve">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w:t>
      </w:r>
      <w:r>
        <w:rPr>
          <w:u w:val="single"/>
        </w:rPr>
        <w:t xml:space="preserve">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u w:val="single"/>
        </w:rPr>
        <w:t xml:space="preserve">(5)</w:t>
      </w:r>
      <w:r>
        <w:rPr/>
        <w:t xml:space="preserve">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at any time the court dismisses charges under subsections (1) through </w:t>
      </w:r>
      <w:r>
        <w:t>((</w:t>
      </w:r>
      <w:r>
        <w:rPr>
          <w:strike/>
        </w:rPr>
        <w:t xml:space="preserve">(6)</w:t>
      </w:r>
      <w:r>
        <w:t>))</w:t>
      </w:r>
      <w:r>
        <w:rPr/>
        <w:t xml:space="preserve"> </w:t>
      </w:r>
      <w:r>
        <w:rPr>
          <w:u w:val="single"/>
        </w:rPr>
        <w:t xml:space="preserve">(7)</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incompetency to stand trial in the preceding 24 months and who are at risk for a finding of incompetency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 time a petition is filed seeking a court order authorizing the involuntary medication for purposes of competency restoration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incompetent to stand trial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incompetent to stand trial due to an intellectual or developmental disability, traumatic brain injury, or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shall implement a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 The project will be implemented in three phases, beginning December 1, 2023, using an interdisciplinary approach across various settings and overlapping with existing resources, including those available to </w:t>
      </w:r>
      <w:r>
        <w:rPr>
          <w:i/>
        </w:rPr>
        <w:t xml:space="preserve">Trueblood</w:t>
      </w:r>
      <w:r>
        <w:rPr/>
        <w:t xml:space="preserve"> class members and services and supports they are eligible to receive from the department of social and health services. The department of social and health services shall collaborate with the University of Washington on this project, including assistance in identifying resources available to class members and determination of eligibility. By November 30, 2026, the University of Washington shall submit a report to the appropriate fiscal and policy committees of the legislature on the pilot project, including the pilot project's outcomes, data analysis, evaluation, and recommendations for improvement. In addition, the University of Washington shall report on the background of current and former </w:t>
      </w:r>
      <w:r>
        <w:rPr>
          <w:i/>
        </w:rPr>
        <w:t xml:space="preserve">Trueblood</w:t>
      </w:r>
      <w:r>
        <w:rPr/>
        <w:t xml:space="preserve"> class members with intellectual and developmental disabilities. The department of social and health services shall share data as needed to assist in report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2019 c 325 s 5006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w:t>
      </w:r>
      <w:r>
        <w:t>((</w:t>
      </w:r>
      <w:r>
        <w:rPr>
          <w:strike/>
        </w:rPr>
        <w:t xml:space="preserve">(4)</w:t>
      </w:r>
      <w:r>
        <w:t>))</w:t>
      </w:r>
      <w:r>
        <w:rPr/>
        <w:t xml:space="preserve"> </w:t>
      </w:r>
      <w:r>
        <w:rPr>
          <w:u w:val="single"/>
        </w:rPr>
        <w:t xml:space="preserve">(7)</w:t>
      </w:r>
      <w:r>
        <w:rPr/>
        <w:t xml:space="preserve"> or 10.77.088</w:t>
      </w:r>
      <w:r>
        <w:t>((</w:t>
      </w:r>
      <w:r>
        <w:rPr>
          <w:strike/>
        </w:rPr>
        <w:t xml:space="preserve">(1)(c)(ii)</w:t>
      </w:r>
      <w:r>
        <w:t>))</w:t>
      </w:r>
      <w:r>
        <w:rPr/>
        <w:t xml:space="preserve"> </w:t>
      </w:r>
      <w:r>
        <w:rPr>
          <w:u w:val="single"/>
        </w:rPr>
        <w:t xml:space="preserve">(6)(b)</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2020 c 302 s 36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(2)(d)(i)</w:t>
      </w:r>
      <w:r>
        <w:t>))</w:t>
      </w:r>
      <w:r>
        <w:rPr/>
        <w:t xml:space="preserve"> </w:t>
      </w:r>
      <w:r>
        <w:rPr>
          <w:u w:val="single"/>
        </w:rPr>
        <w:t xml:space="preserve">(6)(a)</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one hundred twenty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(2)(d)(ii)</w:t>
      </w:r>
      <w:r>
        <w:t>))</w:t>
      </w:r>
      <w:r>
        <w:rPr/>
        <w:t xml:space="preserve"> </w:t>
      </w:r>
      <w:r>
        <w:rPr>
          <w:u w:val="single"/>
        </w:rPr>
        <w:t xml:space="preserve">(6)(b)</w:t>
      </w:r>
      <w:r>
        <w:rPr/>
        <w:t xml:space="preserve">, a professional person shall evaluate the individual for purposes of determining whether to file a ninety-day inpatient or outpatient petition under this chapter. Before expiration of the one hundred twenty hour evaluation period authorized under RCW 10.77.088</w:t>
      </w:r>
      <w:r>
        <w:t>((</w:t>
      </w:r>
      <w:r>
        <w:rPr>
          <w:strike/>
        </w:rPr>
        <w:t xml:space="preserve">(2)(d)(ii)</w:t>
      </w:r>
      <w:r>
        <w:t>))</w:t>
      </w:r>
      <w:r>
        <w:rPr/>
        <w:t xml:space="preserve"> </w:t>
      </w:r>
      <w:r>
        <w:rPr>
          <w:u w:val="single"/>
        </w:rPr>
        <w:t xml:space="preserve">(6)(b)</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one hundred twenty hour evaluation and treatment period. If the evaluation and treatment facility files a ninety-day petition within the one hundred twenty hour period, the clerk shall set a hearing after the day of filing consistent with RCW 71.05.300. Upon the individual's first appearance in court after a petition has been filed, proceedings under RCW 71.05.310 and 71.05.320 shall commence. For an individual subject to this subsection, the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2022 c 210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w:t>
      </w:r>
      <w:r>
        <w:t>((</w:t>
      </w:r>
      <w:r>
        <w:rPr>
          <w:strike/>
        </w:rPr>
        <w:t xml:space="preserve">(4)</w:t>
      </w:r>
      <w:r>
        <w:t>))</w:t>
      </w:r>
      <w:r>
        <w:rPr/>
        <w:t xml:space="preserve"> </w:t>
      </w:r>
      <w:r>
        <w:rPr>
          <w:u w:val="single"/>
        </w:rPr>
        <w:t xml:space="preserve">(7)</w:t>
      </w:r>
      <w:r>
        <w:rPr/>
        <w:t xml:space="preserve">,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2022 c 210 s 16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w:t>
      </w:r>
      <w:r>
        <w:t>((</w:t>
      </w:r>
      <w:r>
        <w:rPr>
          <w:strike/>
        </w:rPr>
        <w:t xml:space="preserve">(4)</w:t>
      </w:r>
      <w:r>
        <w:t>))</w:t>
      </w:r>
      <w:r>
        <w:rPr/>
        <w:t xml:space="preserve"> </w:t>
      </w:r>
      <w:r>
        <w:rPr>
          <w:u w:val="single"/>
        </w:rPr>
        <w:t xml:space="preserve">(7)</w:t>
      </w:r>
      <w:r>
        <w:rPr/>
        <w:t xml:space="preserve">,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2020 c 302 s 43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w:t>
      </w:r>
      <w:r>
        <w:t>((</w:t>
      </w:r>
      <w:r>
        <w:rPr>
          <w:strike/>
        </w:rPr>
        <w:t xml:space="preserve">(4)</w:t>
      </w:r>
      <w:r>
        <w:t>))</w:t>
      </w:r>
      <w:r>
        <w:rPr/>
        <w:t xml:space="preserve"> </w:t>
      </w:r>
      <w:r>
        <w:rPr>
          <w:u w:val="single"/>
        </w:rPr>
        <w:t xml:space="preserve">(7)</w:t>
      </w:r>
      <w:r>
        <w:rPr/>
        <w:t xml:space="preserve">,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2021 c 264 s 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 or the victim's next of kin if the crime was a homicide. In addition, the secretary shall also notify appropriate parties pursuant to RCW 70.02.230(2)(o).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w:t>
      </w:r>
      <w:r>
        <w:t>((</w:t>
      </w:r>
      <w:r>
        <w:rPr>
          <w:strike/>
        </w:rPr>
        <w:t xml:space="preserve">(4)</w:t>
      </w:r>
      <w:r>
        <w:t>))</w:t>
      </w:r>
      <w:r>
        <w:rPr/>
        <w:t xml:space="preserve"> </w:t>
      </w:r>
      <w:r>
        <w:rPr>
          <w:u w:val="single"/>
        </w:rPr>
        <w:t xml:space="preserve">(7)</w:t>
      </w:r>
      <w:r>
        <w:rPr/>
        <w:t xml:space="preserve">;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w:t>
      </w:r>
      <w:r>
        <w:t>((</w:t>
      </w:r>
      <w:r>
        <w:rPr>
          <w:strike/>
        </w:rPr>
        <w:t xml:space="preserve">(4)</w:t>
      </w:r>
      <w:r>
        <w:t>))</w:t>
      </w:r>
      <w:r>
        <w:rPr/>
        <w:t xml:space="preserve"> </w:t>
      </w:r>
      <w:r>
        <w:rPr>
          <w:u w:val="single"/>
        </w:rPr>
        <w:t xml:space="preserve">(7)</w:t>
      </w:r>
      <w:r>
        <w:rPr/>
        <w:t xml:space="preserve">; (d) a person who has been found not guilty by reason of insanity of a sexually violent offense is about to be released, or has been released, pursuant to RCW 10.77.020(3),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2009 c 409 s 6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w:t>
      </w:r>
      <w:r>
        <w:t>((</w:t>
      </w:r>
      <w:r>
        <w:rPr>
          <w:strike/>
        </w:rPr>
        <w:t xml:space="preserve">(15)(c)</w:t>
      </w:r>
      <w:r>
        <w:t>))</w:t>
      </w:r>
      <w:r>
        <w:rPr/>
        <w:t xml:space="preserve"> </w:t>
      </w:r>
      <w:r>
        <w:rPr>
          <w:u w:val="single"/>
        </w:rPr>
        <w:t xml:space="preserve">(18)(c)</w:t>
      </w:r>
      <w:r>
        <w:rPr/>
        <w:t xml:space="preserve">,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incompetent to stand trial, and is about to be or has been released pursuant to RCW 10.77.086</w:t>
      </w:r>
      <w:r>
        <w:t>((</w:t>
      </w:r>
      <w:r>
        <w:rPr>
          <w:strike/>
        </w:rPr>
        <w:t xml:space="preserve">(4)</w:t>
      </w:r>
      <w:r>
        <w:t>))</w:t>
      </w:r>
      <w:r>
        <w:rPr/>
        <w:t xml:space="preserve"> </w:t>
      </w:r>
      <w:r>
        <w:rPr>
          <w:u w:val="single"/>
        </w:rPr>
        <w:t xml:space="preserve">(7)</w:t>
      </w:r>
      <w:r>
        <w:rPr/>
        <w:t xml:space="preserve">, and his or her commitment is sought pursuant to subsection (1) of this section, the court shall first hear evidence and determine whether the person did commit the act or acts charged if the court did not enter a finding prior to dismissal under RCW 10.77.086</w:t>
      </w:r>
      <w:r>
        <w:t>((</w:t>
      </w:r>
      <w:r>
        <w:rPr>
          <w:strike/>
        </w:rPr>
        <w:t xml:space="preserve">(4)</w:t>
      </w:r>
      <w:r>
        <w:t>))</w:t>
      </w:r>
      <w:r>
        <w:rPr/>
        <w:t xml:space="preserve"> </w:t>
      </w:r>
      <w:r>
        <w:rPr>
          <w:u w:val="single"/>
        </w:rPr>
        <w:t xml:space="preserve">(7)</w:t>
      </w:r>
      <w:r>
        <w:rPr/>
        <w:t xml:space="preserve">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incompetent, shall apply. After hearing evidence on this issue, the court shall make specific findings on whether the person did commit the act or acts charged, the extent to which the person's incompetence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Passed by the House April 21,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08a0bda86dcc4b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aeb9e17c8c4aa6" /><Relationship Type="http://schemas.openxmlformats.org/officeDocument/2006/relationships/footer" Target="/word/footer1.xml" Id="R08a0bda86dcc4b7b" /></Relationships>
</file>