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941de6dea43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5502</w:t>
      </w:r>
    </w:p>
    <w:p>
      <w:pPr>
        <w:jc w:val="center"/>
        <w:spacing w:before="480" w:after="0" w:line="240"/>
      </w:pPr>
      <w:r>
        <w:t xml:space="preserve">Chapter </w:t>
      </w:r>
      <w:r>
        <w:rPr/>
        <w:t xml:space="preserve">405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CORRECTIONS—SUBSTANCE USE DISORDER TREATMENT—GRADUATED REENTRY PROGRAM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Gildon, Boehnke, Torres, J.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necessary access to substance use disorder treatment for individuals entering the graduated reentry program at the department of corrections; amending RCW 9.94A.733;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w:t>
      </w:r>
      <w:r>
        <w:rPr>
          <w:u w:val="single"/>
        </w:rPr>
        <w:t xml:space="preserve">(a)</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u w:val="single"/>
        </w:rPr>
        <w:t xml:space="preserve">(b) The department may not transfer an offender to participate in the graduated reentry program until the department has conducted a comprehensive assessment for substance use disorder. If the offender is assessed to have a substance use disorder, the department shall assist the offender in enrolling in substance use disorder treatment services at the level deemed appropriate by the assessment. Offenders transferred to participate in the graduated reentry program must begin receiving substance use disorder treatment services as soon as practicable after transfer to avoid any delays in treatment. Substance use disorder treatment services shall include, as deemed necessary by the assessment, access to medication-assisted treatment and counseling programs. Upon transfer to the graduated reentry program, when clinically appropriate, individuals must be provided with access to self-administered fentanyl testing supplies and medications designed to reverse the effects of opioid overdose.</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0" w:after="0" w:line="408" w:lineRule="exact"/>
        <w:ind w:left="0" w:right="0" w:firstLine="576"/>
        <w:jc w:val="left"/>
      </w:pPr>
      <w:r>
        <w:rPr>
          <w:u w:val="single"/>
        </w:rPr>
        <w:t xml:space="preserve">(10)(a) Beginning July 1, 2023, the following data must be collected and posted to the department's website on a monthly basis:</w:t>
      </w:r>
    </w:p>
    <w:p>
      <w:pPr>
        <w:spacing w:before="0" w:after="0" w:line="408" w:lineRule="exact"/>
        <w:ind w:left="0" w:right="0" w:firstLine="576"/>
        <w:jc w:val="left"/>
      </w:pPr>
      <w:r>
        <w:rPr>
          <w:u w:val="single"/>
        </w:rPr>
        <w:t xml:space="preserve">(i) The number of offenders who were transferred to the graduated reentry program who were assessed to have a substance use disorder during the prior calendar month; and</w:t>
      </w:r>
    </w:p>
    <w:p>
      <w:pPr>
        <w:spacing w:before="0" w:after="0" w:line="408" w:lineRule="exact"/>
        <w:ind w:left="0" w:right="0" w:firstLine="576"/>
        <w:jc w:val="left"/>
      </w:pPr>
      <w:r>
        <w:rPr>
          <w:u w:val="single"/>
        </w:rPr>
        <w:t xml:space="preserve">(ii) The number of offenders in the graduated reentry program who received during the prior 12 months:</w:t>
      </w:r>
    </w:p>
    <w:p>
      <w:pPr>
        <w:spacing w:before="0" w:after="0" w:line="408" w:lineRule="exact"/>
        <w:ind w:left="0" w:right="0" w:firstLine="576"/>
        <w:jc w:val="left"/>
      </w:pPr>
      <w:r>
        <w:rPr>
          <w:u w:val="single"/>
        </w:rPr>
        <w:t xml:space="preserve">(A) Outpatient substance use disorder treatment;</w:t>
      </w:r>
    </w:p>
    <w:p>
      <w:pPr>
        <w:spacing w:before="0" w:after="0" w:line="408" w:lineRule="exact"/>
        <w:ind w:left="0" w:right="0" w:firstLine="576"/>
        <w:jc w:val="left"/>
      </w:pPr>
      <w:r>
        <w:rPr>
          <w:u w:val="single"/>
        </w:rPr>
        <w:t xml:space="preserve">(B) Inpatient substance use disorder treatment; and</w:t>
      </w:r>
    </w:p>
    <w:p>
      <w:pPr>
        <w:spacing w:before="0" w:after="0" w:line="408" w:lineRule="exact"/>
        <w:ind w:left="0" w:right="0" w:firstLine="576"/>
        <w:jc w:val="left"/>
      </w:pPr>
      <w:r>
        <w:rPr>
          <w:u w:val="single"/>
        </w:rPr>
        <w:t xml:space="preserve">(C) Both outpatient and inpatient substance use disorder treatment.</w:t>
      </w:r>
    </w:p>
    <w:p>
      <w:pPr>
        <w:spacing w:before="0" w:after="0" w:line="408" w:lineRule="exact"/>
        <w:ind w:left="0" w:right="0" w:firstLine="576"/>
        <w:jc w:val="left"/>
      </w:pPr>
      <w:r>
        <w:rPr>
          <w:u w:val="single"/>
        </w:rPr>
        <w:t xml:space="preserve">(b) Beginning July 1, 2023, the health care authority must report monthly to the department on the number of offenders in the graduated reentry program who received substance use disorder outpatient treatment, while in the community, during the prior 12 months.</w:t>
      </w:r>
    </w:p>
    <w:p>
      <w:pPr>
        <w:spacing w:before="0" w:after="0" w:line="408" w:lineRule="exact"/>
        <w:ind w:left="0" w:right="0" w:firstLine="576"/>
        <w:jc w:val="left"/>
      </w:pPr>
      <w:r>
        <w:rPr>
          <w:u w:val="single"/>
        </w:rPr>
        <w:t xml:space="preserve">(11) The department must share data with the health care authority on offenders participating in the graduated reentry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07f9622ac2a944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223de6f2d4034" /><Relationship Type="http://schemas.openxmlformats.org/officeDocument/2006/relationships/footer" Target="/word/footer1.xml" Id="R07f9622ac2a94470" /></Relationships>
</file>