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0add8d1914e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5512</w:t>
      </w:r>
    </w:p>
    <w:p>
      <w:pPr>
        <w:jc w:val="center"/>
        <w:spacing w:before="480" w:after="0" w:line="240"/>
      </w:pPr>
      <w:r>
        <w:t xml:space="preserve">Chapter </w:t>
      </w:r>
      <w:r>
        <w:rPr/>
        <w:t xml:space="preserve">98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EDUCATION DATA CENTER—HIGHER EDUCATION DATA MEASURES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5512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Holy, Liias, Rivers, Salomon, J. Wilson, Schoesler, Torres, L. Wilson, MacEwen, Dozier, Wagoner, Warnick, Gildon, McCune, Short, King, Braun, Muzzall, Nguyen, Billig, and Boehnke)</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financial transparency reporting requirements to the public four-year dashboard; and amending RCW 28B.77.090.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w:t>
      </w:r>
      <w:r>
        <w:t>((</w:t>
      </w:r>
      <w:r>
        <w:rPr>
          <w:strike/>
        </w:rPr>
        <w:t xml:space="preserve">seventy</w:t>
      </w:r>
      <w:r>
        <w:t>))</w:t>
      </w:r>
      <w:r>
        <w:rPr/>
        <w:t xml:space="preserve"> </w:t>
      </w:r>
      <w:r>
        <w:rPr>
          <w:u w:val="single"/>
        </w:rPr>
        <w:t xml:space="preserve">70</w:t>
      </w:r>
      <w:r>
        <w:rPr/>
        <w:t xml:space="preserve"> percent of the median family income;</w:t>
      </w:r>
    </w:p>
    <w:p>
      <w:pPr>
        <w:spacing w:before="0" w:after="0" w:line="408" w:lineRule="exact"/>
        <w:ind w:left="0" w:right="0" w:firstLine="576"/>
        <w:jc w:val="left"/>
      </w:pPr>
      <w:r>
        <w:rPr/>
        <w:t xml:space="preserve">(ii) Between </w:t>
      </w:r>
      <w:r>
        <w:t>((</w:t>
      </w:r>
      <w:r>
        <w:rPr>
          <w:strike/>
        </w:rPr>
        <w:t xml:space="preserve">seventy-one</w:t>
      </w:r>
      <w:r>
        <w:t>))</w:t>
      </w:r>
      <w:r>
        <w:rPr/>
        <w:t xml:space="preserve"> </w:t>
      </w:r>
      <w:r>
        <w:rPr>
          <w:u w:val="single"/>
        </w:rPr>
        <w:t xml:space="preserve">71</w:t>
      </w:r>
      <w:r>
        <w:rPr/>
        <w:t xml:space="preserve"> percent and </w:t>
      </w:r>
      <w:r>
        <w:t>((</w:t>
      </w:r>
      <w:r>
        <w:rPr>
          <w:strike/>
        </w:rPr>
        <w:t xml:space="preserve">one hundred twenty-five</w:t>
      </w:r>
      <w:r>
        <w:t>))</w:t>
      </w:r>
      <w:r>
        <w:rPr/>
        <w:t xml:space="preserve"> </w:t>
      </w:r>
      <w:r>
        <w:rPr>
          <w:u w:val="single"/>
        </w:rPr>
        <w:t xml:space="preserve">125</w:t>
      </w:r>
      <w:r>
        <w:rPr/>
        <w:t xml:space="preserve"> percent of the median family income; and</w:t>
      </w:r>
    </w:p>
    <w:p>
      <w:pPr>
        <w:spacing w:before="0" w:after="0" w:line="408" w:lineRule="exact"/>
        <w:ind w:left="0" w:right="0" w:firstLine="576"/>
        <w:jc w:val="left"/>
      </w:pPr>
      <w:r>
        <w:rPr/>
        <w:t xml:space="preserve">(iii) Above </w:t>
      </w:r>
      <w:r>
        <w:t>((</w:t>
      </w:r>
      <w:r>
        <w:rPr>
          <w:strike/>
        </w:rPr>
        <w:t xml:space="preserve">one hundred twenty-five</w:t>
      </w:r>
      <w:r>
        <w:t>))</w:t>
      </w:r>
      <w:r>
        <w:rPr/>
        <w:t xml:space="preserve"> </w:t>
      </w:r>
      <w:r>
        <w:rPr>
          <w:u w:val="single"/>
        </w:rPr>
        <w:t xml:space="preserve">125</w:t>
      </w:r>
      <w:r>
        <w:rPr/>
        <w:t xml:space="preserve"> percent of the median family income; </w:t>
      </w:r>
      <w:r>
        <w:t>((</w:t>
      </w:r>
      <w:r>
        <w:rPr>
          <w:strike/>
        </w:rPr>
        <w:t xml:space="preserve">and</w:t>
      </w:r>
      <w:r>
        <w:t>))</w:t>
      </w:r>
    </w:p>
    <w:p>
      <w:pPr>
        <w:spacing w:before="0" w:after="0" w:line="408" w:lineRule="exact"/>
        <w:ind w:left="0" w:right="0" w:firstLine="576"/>
        <w:jc w:val="left"/>
      </w:pPr>
      <w:r>
        <w:rPr/>
        <w:t xml:space="preserve">(r) Yearly percentage increases in the average cost of undergraduate instruction</w:t>
      </w:r>
      <w:r>
        <w:rPr>
          <w:u w:val="single"/>
        </w:rPr>
        <w:t xml:space="preserve">;</w:t>
      </w:r>
    </w:p>
    <w:p>
      <w:pPr>
        <w:spacing w:before="0" w:after="0" w:line="408" w:lineRule="exact"/>
        <w:ind w:left="0" w:right="0" w:firstLine="576"/>
        <w:jc w:val="left"/>
      </w:pPr>
      <w:r>
        <w:rPr>
          <w:u w:val="single"/>
        </w:rPr>
        <w:t xml:space="preserve">(s) Ratio of fall headcount students to fall headcount faculty appointments;</w:t>
      </w:r>
    </w:p>
    <w:p>
      <w:pPr>
        <w:spacing w:before="0" w:after="0" w:line="408" w:lineRule="exact"/>
        <w:ind w:left="0" w:right="0" w:firstLine="576"/>
        <w:jc w:val="left"/>
      </w:pPr>
      <w:r>
        <w:rPr>
          <w:u w:val="single"/>
        </w:rPr>
        <w:t xml:space="preserve">(t) Annualized ratio of full-time equivalent students to annualized full-time equivalent nonfaculty positions;</w:t>
      </w:r>
    </w:p>
    <w:p>
      <w:pPr>
        <w:spacing w:before="0" w:after="0" w:line="408" w:lineRule="exact"/>
        <w:ind w:left="0" w:right="0" w:firstLine="576"/>
        <w:jc w:val="left"/>
      </w:pPr>
      <w:r>
        <w:rPr>
          <w:u w:val="single"/>
        </w:rPr>
        <w:t xml:space="preserve">(u) Net position for the academy as defined by the national center for education statistics, integrated postsecondary education data system data glossary (2022);</w:t>
      </w:r>
    </w:p>
    <w:p>
      <w:pPr>
        <w:spacing w:before="0" w:after="0" w:line="408" w:lineRule="exact"/>
        <w:ind w:left="0" w:right="0" w:firstLine="576"/>
        <w:jc w:val="left"/>
      </w:pPr>
      <w:r>
        <w:rPr>
          <w:u w:val="single"/>
        </w:rPr>
        <w:t xml:space="preserve">(v) Annual primary reserve ratio as measured by expendable net assets to total expenses;</w:t>
      </w:r>
    </w:p>
    <w:p>
      <w:pPr>
        <w:spacing w:before="0" w:after="0" w:line="408" w:lineRule="exact"/>
        <w:ind w:left="0" w:right="0" w:firstLine="576"/>
        <w:jc w:val="left"/>
      </w:pPr>
      <w:r>
        <w:rPr>
          <w:u w:val="single"/>
        </w:rPr>
        <w:t xml:space="preserve">(w) Cash on hand as calculated by the ratio of total cash on hand for the academy divided by operating expenses for the academy minus noncash expenses divided by 365;</w:t>
      </w:r>
    </w:p>
    <w:p>
      <w:pPr>
        <w:spacing w:before="0" w:after="0" w:line="408" w:lineRule="exact"/>
        <w:ind w:left="0" w:right="0" w:firstLine="576"/>
        <w:jc w:val="left"/>
      </w:pPr>
      <w:r>
        <w:rPr>
          <w:u w:val="single"/>
        </w:rPr>
        <w:t xml:space="preserve">(x) Viability ratio as measured by unrestricted and expendable net assets, not including capital projects expendable net assets, divided by total debt;</w:t>
      </w:r>
    </w:p>
    <w:p>
      <w:pPr>
        <w:spacing w:before="0" w:after="0" w:line="408" w:lineRule="exact"/>
        <w:ind w:left="0" w:right="0" w:firstLine="576"/>
        <w:jc w:val="left"/>
      </w:pPr>
      <w:r>
        <w:rPr>
          <w:u w:val="single"/>
        </w:rPr>
        <w:t xml:space="preserve">(y) Ratio of total expendable net assets for the academy as defined by the national center for education statistics, integrated postsecondary education data system data glossary (2022) per full-time equivalent student;</w:t>
      </w:r>
    </w:p>
    <w:p>
      <w:pPr>
        <w:spacing w:before="0" w:after="0" w:line="408" w:lineRule="exact"/>
        <w:ind w:left="0" w:right="0" w:firstLine="576"/>
        <w:jc w:val="left"/>
      </w:pPr>
      <w:r>
        <w:rPr>
          <w:u w:val="single"/>
        </w:rPr>
        <w:t xml:space="preserve">(z) Total market value of college or university endowment holdings; and</w:t>
      </w:r>
    </w:p>
    <w:p>
      <w:pPr>
        <w:spacing w:before="0" w:after="0" w:line="408" w:lineRule="exact"/>
        <w:ind w:left="0" w:right="0" w:firstLine="576"/>
        <w:jc w:val="left"/>
      </w:pPr>
      <w:r>
        <w:rPr>
          <w:u w:val="single"/>
        </w:rPr>
        <w:t xml:space="preserve">(aa) Total annual market value of college or university endowment earnings, the amount of the annual earnings that remain in the endowment after fees are removed, and the percentage of the annual remaining endowment earnings after fees are removed to total annual market value of college or university endowment earnings</w:t>
      </w:r>
      <w:r>
        <w:rPr/>
        <w:t xml:space="preserve">.</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website no later than </w:t>
      </w:r>
      <w:r>
        <w:t>((</w:t>
      </w:r>
      <w:r>
        <w:rPr>
          <w:strike/>
        </w:rPr>
        <w:t xml:space="preserve">December 1, 2011, and updated thereafter annually by December 1st</w:t>
      </w:r>
      <w:r>
        <w:t>))</w:t>
      </w:r>
      <w:r>
        <w:rPr/>
        <w:t xml:space="preserve"> </w:t>
      </w:r>
      <w:r>
        <w:rPr>
          <w:u w:val="single"/>
        </w:rPr>
        <w:t xml:space="preserve">January 15th</w:t>
      </w:r>
      <w:r>
        <w:rPr/>
        <w:t xml:space="preserve">. To the maximum extent possible, the information must be viewable by race and ethnicity, gender, state and county of origin, age, and socioeconomic status. The information may be tailored to meet the needs of various target audiences such as students,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w:t>
      </w:r>
      <w:r>
        <w:t>((</w:t>
      </w:r>
      <w:r>
        <w:rPr>
          <w:strike/>
        </w:rPr>
        <w:t xml:space="preserve">ten</w:t>
      </w:r>
      <w:r>
        <w:t>))</w:t>
      </w:r>
      <w:r>
        <w:rPr/>
        <w:t xml:space="preserve"> </w:t>
      </w:r>
      <w:r>
        <w:rPr>
          <w:u w:val="single"/>
        </w:rPr>
        <w:t xml:space="preserve">10</w:t>
      </w:r>
      <w:r>
        <w:rPr/>
        <w:t xml:space="preserve">-year plan for higher education.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427999f9dc6f49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84b55b0c44838" /><Relationship Type="http://schemas.openxmlformats.org/officeDocument/2006/relationships/footer" Target="/word/footer1.xml" Id="R427999f9dc6f4955" /></Relationships>
</file>