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491313ae248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5528</w:t>
      </w:r>
    </w:p>
    <w:p>
      <w:pPr>
        <w:jc w:val="center"/>
        <w:spacing w:before="480" w:after="0" w:line="240"/>
      </w:pPr>
      <w:r>
        <w:t xml:space="preserve">Chapter </w:t>
      </w:r>
      <w:r>
        <w:rPr/>
        <w:t xml:space="preserve">373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PRIVATE CONSTRUCTION PROJECTS—RETAINAGE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 Stanford)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requirements for private construction projects;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contractor, or subcontractor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or subcontractor shall pay interest at the rate of one percent per month on the final payment due the contractor or subcontractor. The interest shall commence 30 days after the contractor or subcontractor has completed and the owner has accepted the work under the contract for construction for which the final payment is due. The interest shall run until the date when final payment is tendered to the contractor or subcontractor.</w:t>
      </w:r>
    </w:p>
    <w:p>
      <w:pPr>
        <w:spacing w:before="0" w:after="0" w:line="408" w:lineRule="exact"/>
        <w:ind w:left="0" w:right="0" w:firstLine="576"/>
        <w:jc w:val="left"/>
      </w:pPr>
      <w:r>
        <w:rPr/>
        <w:t xml:space="preserve">(3) When the contractor or subcontractor considers the work that the contractor or subcontractor is contracted to perform to be complete, the contractor or subcontractor shall notify the party to whom the contractor or subcontractor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or subcontractor of work yet to be performed under the contract or subcontract. If the party does not accept the work or does not notify the contractor or subcontractor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whose work is complete. If an owner or upper-tier contractor does not accept the subcontractor's work or does not notify the contractor of work yet to be performed by the subcontractor within 15 days after receiving the notice, the interest required under this section shall commence 30 days after the end of the 15-day period. A contractor's obligation to pay interest to a subcontractor under this section does not begin until the contractor has received payment for the subcontractor's retainage provided that the contractor has submitted the subcontractor's retainage request to the owner or upper-tier contractor within 30 days after receipt from the subcontractor.</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retainage, a subcontractor or contractor may tender, and a contractor or owner must accept, a retainage bond in an amount not to exceed five percent of the moneys earned by the subcontractor or contractor.</w:t>
      </w:r>
    </w:p>
    <w:p>
      <w:pPr>
        <w:spacing w:before="0" w:after="0" w:line="408" w:lineRule="exact"/>
        <w:ind w:left="0" w:right="0" w:firstLine="576"/>
        <w:jc w:val="left"/>
      </w:pPr>
      <w:r>
        <w:rPr/>
        <w:t xml:space="preserve">(2) A subcontractor or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or owner may require that the authorized surety have a minimum A.M. Best financial strength rating so long as that minimum rating does not exceed A-. The contractor may withhold the subcontractor's portion of the bond premium, to the extent the contractor provides a retainage bond to obtain a release of the subcontractor's retainage.</w:t>
      </w:r>
    </w:p>
    <w:p>
      <w:pPr>
        <w:spacing w:before="0" w:after="0" w:line="408" w:lineRule="exact"/>
        <w:ind w:left="0" w:right="0" w:firstLine="576"/>
        <w:jc w:val="left"/>
      </w:pPr>
      <w:r>
        <w:rPr/>
        <w:t xml:space="preserve">(4) The contractor or owner must accept a bond meeting the requirements of this section. The subcontractor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rPr/>
        <w:t xml:space="preserve">(5)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(6)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only apply to private construction projects and do not apply to public improvement contracts, as defined in RCW 60.28.011.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aea20b2ad8144c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2c6f0f9654a86" /><Relationship Type="http://schemas.openxmlformats.org/officeDocument/2006/relationships/footer" Target="/word/footer1.xml" Id="Raea20b2ad8144cdf" /></Relationships>
</file>