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95046308541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5588</w:t>
      </w:r>
    </w:p>
    <w:p>
      <w:pPr>
        <w:jc w:val="center"/>
        <w:spacing w:before="480" w:after="0" w:line="240"/>
      </w:pPr>
      <w:r>
        <w:t xml:space="preserve">Chapter </w:t>
      </w:r>
      <w:r>
        <w:rPr/>
        <w:t xml:space="preserve">373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MENTAL HEALTH SENTENCING ALTERNATIVE—MODIFICATION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Nobles, Wagoner, Dhingra, Lovelett, Pedersen, Saldaña,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sentencing alternative; and amending RCW 9.94A.695.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w:t>
      </w:r>
      <w:r>
        <w:t>((</w:t>
      </w:r>
      <w:r>
        <w:rPr>
          <w:strike/>
        </w:rPr>
        <w:t xml:space="preserve">(a)</w:t>
      </w:r>
      <w:r>
        <w:t>))</w:t>
      </w:r>
      <w:r>
        <w:rPr/>
        <w:t xml:space="preserve"> </w:t>
      </w:r>
      <w:r>
        <w:rPr>
          <w:u w:val="single"/>
        </w:rPr>
        <w:t xml:space="preserve">For a defendant participating in this sentencing alternative, the court and correctional facility may delay the defendant's release from total confinement in order to facilitate adherence to the defendant's treatment plan. This may include delaying release in order to:</w:t>
      </w:r>
    </w:p>
    <w:p>
      <w:pPr>
        <w:spacing w:before="0" w:after="0" w:line="408" w:lineRule="exact"/>
        <w:ind w:left="0" w:right="0" w:firstLine="576"/>
        <w:jc w:val="left"/>
      </w:pPr>
      <w:r>
        <w:rPr>
          <w:u w:val="single"/>
        </w:rPr>
        <w:t xml:space="preserve">(a) Allow a defendant to transfer directly to an inpatient treatment facility or supportive housing provider;</w:t>
      </w:r>
    </w:p>
    <w:p>
      <w:pPr>
        <w:spacing w:before="0" w:after="0" w:line="408" w:lineRule="exact"/>
        <w:ind w:left="0" w:right="0" w:firstLine="576"/>
        <w:jc w:val="left"/>
      </w:pPr>
      <w:r>
        <w:rPr>
          <w:u w:val="single"/>
        </w:rPr>
        <w:t xml:space="preserve">(b) Ensure appropriate transportation is established and available; or</w:t>
      </w:r>
    </w:p>
    <w:p>
      <w:pPr>
        <w:spacing w:before="0" w:after="0" w:line="408" w:lineRule="exact"/>
        <w:ind w:left="0" w:right="0" w:firstLine="576"/>
        <w:jc w:val="left"/>
      </w:pPr>
      <w:r>
        <w:rPr>
          <w:u w:val="single"/>
        </w:rPr>
        <w:t xml:space="preserve">(c) Release the defendant during business hours on a weekday when services are available.</w:t>
      </w:r>
    </w:p>
    <w:p>
      <w:pPr>
        <w:spacing w:before="0" w:after="0" w:line="408" w:lineRule="exact"/>
        <w:ind w:left="0" w:right="0" w:firstLine="576"/>
        <w:jc w:val="left"/>
      </w:pPr>
      <w:r>
        <w:rPr>
          <w:u w:val="single"/>
        </w:rPr>
        <w:t xml:space="preserve">(7)(a)</w:t>
      </w:r>
      <w:r>
        <w:rPr/>
        <w:t xml:space="preserve">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w:t>
      </w:r>
      <w:r>
        <w:t>((</w:t>
      </w:r>
      <w:r>
        <w:rPr>
          <w:strike/>
        </w:rPr>
        <w:t xml:space="preserve">term of total or partial confinement within the</w:t>
      </w:r>
      <w:r>
        <w:t>))</w:t>
      </w:r>
      <w:r>
        <w:rPr/>
        <w:t xml:space="preserve"> standard </w:t>
      </w:r>
      <w:r>
        <w:t>((</w:t>
      </w:r>
      <w:r>
        <w:rPr>
          <w:strike/>
        </w:rPr>
        <w:t xml:space="preserve">sentence</w:t>
      </w:r>
      <w:r>
        <w:t>))</w:t>
      </w:r>
      <w:r>
        <w:rPr/>
        <w:t xml:space="preserve"> range </w:t>
      </w:r>
      <w:r>
        <w:rPr>
          <w:u w:val="single"/>
        </w:rPr>
        <w:t xml:space="preserve">sentence</w:t>
      </w:r>
      <w:r>
        <w:rPr/>
        <w:t xml:space="preserve"> or impose an exceptional sentence below the standard sentencing range if compelling reasons are found by the court or the parties agree to the downward departure. The defendant shall receive credit for time served while </w:t>
      </w:r>
      <w:r>
        <w:rPr>
          <w:u w:val="single"/>
        </w:rPr>
        <w:t xml:space="preserve">in compliance and actively</w:t>
      </w:r>
      <w:r>
        <w:rPr/>
        <w:t xml:space="preserv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t>((</w:t>
      </w:r>
      <w:r>
        <w:rPr>
          <w:strike/>
        </w:rPr>
        <w:t xml:space="preserve">(12)</w:t>
      </w:r>
      <w:r>
        <w:t>))</w:t>
      </w:r>
      <w:r>
        <w:rPr/>
        <w:t xml:space="preserve"> </w:t>
      </w:r>
      <w:r>
        <w:rPr>
          <w:u w:val="single"/>
        </w:rPr>
        <w:t xml:space="preserve">(13) The health care authority shall reimburse for the following services provided for individuals participating in the sentencing alternative:</w:t>
      </w:r>
    </w:p>
    <w:p>
      <w:pPr>
        <w:spacing w:before="0" w:after="0" w:line="408" w:lineRule="exact"/>
        <w:ind w:left="0" w:right="0" w:firstLine="576"/>
        <w:jc w:val="left"/>
      </w:pPr>
      <w:r>
        <w:rPr>
          <w:u w:val="single"/>
        </w:rPr>
        <w:t xml:space="preserve">(a) In-custody mental health assessments;</w:t>
      </w:r>
    </w:p>
    <w:p>
      <w:pPr>
        <w:spacing w:before="0" w:after="0" w:line="408" w:lineRule="exact"/>
        <w:ind w:left="0" w:right="0" w:firstLine="576"/>
        <w:jc w:val="left"/>
      </w:pPr>
      <w:r>
        <w:rPr>
          <w:u w:val="single"/>
        </w:rPr>
        <w:t xml:space="preserve">(b) In-custody preliminary treatment plan development; and</w:t>
      </w:r>
    </w:p>
    <w:p>
      <w:pPr>
        <w:spacing w:before="0" w:after="0" w:line="408" w:lineRule="exact"/>
        <w:ind w:left="0" w:right="0" w:firstLine="576"/>
        <w:jc w:val="left"/>
      </w:pPr>
      <w:r>
        <w:rPr>
          <w:u w:val="single"/>
        </w:rPr>
        <w:t xml:space="preserve">(c) Ongoing monitoring of the defendant's adherence to the defendant's treatment plan and the requirements of the sentencing alternative, including reporting to the court and the department.</w:t>
      </w:r>
    </w:p>
    <w:p>
      <w:pPr>
        <w:spacing w:before="0" w:after="0" w:line="408" w:lineRule="exact"/>
        <w:ind w:left="0" w:right="0" w:firstLine="576"/>
        <w:jc w:val="left"/>
      </w:pPr>
      <w:r>
        <w:rPr>
          <w:u w:val="single"/>
        </w:rPr>
        <w:t xml:space="preserve">(14)</w:t>
      </w:r>
      <w:r>
        <w:rPr/>
        <w:t xml:space="preserve">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69f6a3d26a9d41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a6dea842a48ed" /><Relationship Type="http://schemas.openxmlformats.org/officeDocument/2006/relationships/footer" Target="/word/footer1.xml" Id="R69f6a3d26a9d4115" /></Relationships>
</file>