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1fb1ce5a2745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5729</w:t>
      </w:r>
    </w:p>
    <w:p>
      <w:pPr>
        <w:jc w:val="center"/>
        <w:spacing w:before="480" w:after="0" w:line="240"/>
      </w:pPr>
      <w:r>
        <w:t xml:space="preserve">Chapter </w:t>
      </w:r>
      <w:r>
        <w:rPr/>
        <w:t xml:space="preserve">16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INSULIN COST-SHARING CAP—EXTENSION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Keiser, Cleveland, Hasegawa, Hunt, Kuderer, Nguyen, Shewmake, Stanford,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on the cost-sharing cap for insulin; and amending RCW 48.43.780.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2022 c 10 s 1 are each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2023, that provides coverage for prescription insulin drugs for the treatment of diabetes must cap the total amount that an enrollee is required to pay for a covered insulin drug at an amount not to exceed $35 per 30-day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t>((</w:t>
      </w:r>
      <w:r>
        <w:rPr>
          <w:strike/>
        </w:rPr>
        <w:t xml:space="preserve">(3) This section expires January 1, 2024.</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March 22,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1377b413d46d49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693e5a20e4383" /><Relationship Type="http://schemas.openxmlformats.org/officeDocument/2006/relationships/footer" Target="/word/footer1.xml" Id="R1377b413d46d49ea" /></Relationships>
</file>