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6580450c743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5821</w:t>
      </w:r>
    </w:p>
    <w:p>
      <w:pPr>
        <w:jc w:val="center"/>
        <w:spacing w:before="480" w:after="0" w:line="240"/>
      </w:pPr>
      <w:r>
        <w:t xml:space="preserve">Chapter </w:t>
      </w:r>
      <w:r>
        <w:rPr/>
        <w:t xml:space="preserve">215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AUDIO-ONLY TELEMEDICINE—DEFINITION OF ESTABLISHED RELATIONSHIP WITH PROVIDER</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79</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Muzzall, Randall, Kuderer, and Rivers</w:t>
      </w:r>
    </w:p>
    <w:p/>
    <w:p>
      <w:r>
        <w:rPr>
          <w:t xml:space="preserve">Prefiled 12/08/23.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uniform standard for creating an established relationship for the purposes of coverage of audio-only telemedicine services by expanding the time in which a health care provider has seen the patient and removing the expiration of provisions allowing for the use of real-time interactive appointments using both audio and video technology; amending RCW 41.05.700 and 48.43.735; and reenacting and amending RCW 74.09.325.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2023 c 8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2023 c 8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w:t>
      </w:r>
      <w:r>
        <w:rPr>
          <w:strike/>
        </w:rPr>
        <w:t xml:space="preserve">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2023 c 51 s 38 and 2023 c 8 s 3 are each reenacted and amended to read as follows:</w:t>
      </w:r>
    </w:p>
    <w:p>
      <w:pPr>
        <w:spacing w:before="0" w:after="0" w:line="408" w:lineRule="exact"/>
        <w:ind w:left="0" w:right="0" w:firstLine="576"/>
        <w:jc w:val="left"/>
      </w:pPr>
      <w:r>
        <w:rPr/>
        <w:t xml:space="preserve">(1)(a) All managed care organizations contracted with the authority for the medicaid program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managed care organization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managed care organization shall reimburse a provider for a health care service provided to a covered person through telemedicine the same amount of compensation the managed care organization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care organization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care organization.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care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care organization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care organization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f2fd4766160d46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596253fed4254" /><Relationship Type="http://schemas.openxmlformats.org/officeDocument/2006/relationships/footer" Target="/word/footer1.xml" Id="Rf2fd4766160d46ee" /></Relationships>
</file>