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b2a37aa1904b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5834</w:t>
      </w:r>
    </w:p>
    <w:p>
      <w:pPr>
        <w:jc w:val="center"/>
        <w:spacing w:before="480" w:after="0" w:line="240"/>
      </w:pPr>
      <w:r>
        <w:t xml:space="preserve">Chapter </w:t>
      </w:r>
      <w:r>
        <w:rPr/>
        <w:t xml:space="preserve">26</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URBAN GROWTH AREAS—REVISION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5834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11:13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5834</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Local Government, Land Use &amp; Tribal Affairs (originally sponsored by Senators Short, Lovelett, Billig, Gildon, Mullet, Padden, and Torres)</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urban growth areas; and amending RCW 36.70A.110.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2022 c 252 s 4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 When a federally recognized Indian tribe whose reservation or ceded lands lie within the county or city has voluntarily chosen to participate in the planning process pursuant to RCW 36.70A.040, the county or city and the tribe shall coordinate their planning efforts for any areas planned for urban growth consistent with the terms outlined in the memorandum of agreement provided for in RCW 36.70A.040(8).</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 </w:t>
      </w:r>
      <w:r>
        <w:rPr>
          <w:u w:val="single"/>
        </w:rPr>
        <w:t xml:space="preserve">If, during the county's annual review under RCW 36.70A.130(2)(a), the county determines revision of the urban growth area is not required to accommodate the population projection for the county made by the office of financial management for the succeeding 20-year period, but does determine that patterns of development have created pressure for development in areas exceeding the amount of available developable lands within the urban growth area, then the county may revise the urban growth area or areas based on identified patterns of development and likely future development pressure if the following requirements are met:</w:t>
      </w:r>
    </w:p>
    <w:p>
      <w:pPr>
        <w:spacing w:before="0" w:after="0" w:line="408" w:lineRule="exact"/>
        <w:ind w:left="0" w:right="0" w:firstLine="576"/>
        <w:jc w:val="left"/>
      </w:pPr>
      <w:r>
        <w:rPr>
          <w:u w:val="single"/>
        </w:rPr>
        <w:t xml:space="preserve">(a) The revised urban growth area would not result in a net increase in the total acreage or development capacity of the urban growth area or areas;</w:t>
      </w:r>
    </w:p>
    <w:p>
      <w:pPr>
        <w:spacing w:before="0" w:after="0" w:line="408" w:lineRule="exact"/>
        <w:ind w:left="0" w:right="0" w:firstLine="576"/>
        <w:jc w:val="left"/>
      </w:pPr>
      <w:r>
        <w:rPr>
          <w:u w:val="single"/>
        </w:rPr>
        <w:t xml:space="preserve">(b) The areas added to the urban growth area are not designated by the county as agricultural, forest, or mineral resource lands of long-term commercial significance;</w:t>
      </w:r>
    </w:p>
    <w:p>
      <w:pPr>
        <w:spacing w:before="0" w:after="0" w:line="408" w:lineRule="exact"/>
        <w:ind w:left="0" w:right="0" w:firstLine="576"/>
        <w:jc w:val="left"/>
      </w:pPr>
      <w:r>
        <w:rPr>
          <w:u w:val="single"/>
        </w:rPr>
        <w:t xml:space="preserve">(c) If the areas added to the urban growth area have previously been designated as agricultural, forest, or mineral resource lands of long-term commercial significance, either an equivalent amount of agricultural, forest, or mineral resource lands of long-term commercial significance must be added to the area outside of the urban growth area, or the county must wait a minimum of two years before another swap may occur;</w:t>
      </w:r>
    </w:p>
    <w:p>
      <w:pPr>
        <w:spacing w:before="0" w:after="0" w:line="408" w:lineRule="exact"/>
        <w:ind w:left="0" w:right="0" w:firstLine="576"/>
        <w:jc w:val="left"/>
      </w:pPr>
      <w:r>
        <w:rPr>
          <w:u w:val="single"/>
        </w:rPr>
        <w:t xml:space="preserve">(d) Less than 15 percent of the areas added to the urban growth area are critical areas other than critical aquifer recharge areas. Critical aquifer recharge areas must have been previously designated by the county and be maintained per county development regulations within the expanded urban growth area and the revised urban growth area must not result in a net increase in critical aquifer recharge areas within the urban growth area;</w:t>
      </w:r>
    </w:p>
    <w:p>
      <w:pPr>
        <w:spacing w:before="0" w:after="0" w:line="408" w:lineRule="exact"/>
        <w:ind w:left="0" w:right="0" w:firstLine="576"/>
        <w:jc w:val="left"/>
      </w:pPr>
      <w:r>
        <w:rPr>
          <w:u w:val="single"/>
        </w:rPr>
        <w:t xml:space="preserve">(e) The areas added to the urban growth areas are suitable for urban growth;</w:t>
      </w:r>
    </w:p>
    <w:p>
      <w:pPr>
        <w:spacing w:before="0" w:after="0" w:line="408" w:lineRule="exact"/>
        <w:ind w:left="0" w:right="0" w:firstLine="576"/>
        <w:jc w:val="left"/>
      </w:pPr>
      <w:r>
        <w:rPr>
          <w:u w:val="single"/>
        </w:rPr>
        <w:t xml:space="preserve">(f) The transportation element and capital facility plan element of the county's comprehensive plan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u w:val="single"/>
        </w:rPr>
        <w:t xml:space="preserve">(g) The areas removed from the urban growth area are not characterized by urban growth or urban densities;</w:t>
      </w:r>
    </w:p>
    <w:p>
      <w:pPr>
        <w:spacing w:before="0" w:after="0" w:line="408" w:lineRule="exact"/>
        <w:ind w:left="0" w:right="0" w:firstLine="576"/>
        <w:jc w:val="left"/>
      </w:pPr>
      <w:r>
        <w:rPr>
          <w:u w:val="single"/>
        </w:rPr>
        <w:t xml:space="preserve">(h) The revised urban growth area is contiguous, does not include holes or gaps, and will not increase pressures to urbanize rural or natural resource lands;</w:t>
      </w:r>
    </w:p>
    <w:p>
      <w:pPr>
        <w:spacing w:before="0" w:after="0" w:line="408" w:lineRule="exact"/>
        <w:ind w:left="0" w:right="0" w:firstLine="576"/>
        <w:jc w:val="left"/>
      </w:pPr>
      <w:r>
        <w:rPr>
          <w:u w:val="single"/>
        </w:rPr>
        <w:t xml:space="preserve">(i) The county's proposed urban growth area revision has been reviewed according to the process and procedure in the countywide planning policies adopted and approved according to RCW 36.70A.210; and</w:t>
      </w:r>
    </w:p>
    <w:p>
      <w:pPr>
        <w:spacing w:before="0" w:after="0" w:line="408" w:lineRule="exact"/>
        <w:ind w:left="0" w:right="0" w:firstLine="576"/>
        <w:jc w:val="left"/>
      </w:pPr>
      <w:r>
        <w:rPr>
          <w:u w:val="single"/>
        </w:rPr>
        <w:t xml:space="preserve">(j) The revised urban growth area meets all other requirements of this section</w:t>
      </w:r>
      <w:r>
        <w:rPr>
          <w:u w:val="single"/>
        </w:rPr>
        <w:t xml:space="preserve">.</w:t>
      </w:r>
    </w:p>
    <w:p>
      <w:pPr>
        <w:spacing w:before="0" w:after="0" w:line="408" w:lineRule="exact"/>
        <w:ind w:left="0" w:right="0" w:firstLine="576"/>
        <w:jc w:val="left"/>
      </w:pPr>
      <w:r>
        <w:rPr>
          <w:u w:val="single"/>
        </w:rPr>
        <w:t xml:space="preserve">(9)(a) At the earliest possible date prior to the revision of the county's urban growth area authorized under subsection (8) of this section, the county must engage in meaningful consultation with any federally recognized Indian tribe that may be potentially affected by the proposed revision. Meaningful consultation must include discussion of the potential impacts to cultural resources and tribal treaty rights.</w:t>
      </w:r>
    </w:p>
    <w:p>
      <w:pPr>
        <w:spacing w:before="0" w:after="0" w:line="408" w:lineRule="exact"/>
        <w:ind w:left="0" w:right="0" w:firstLine="576"/>
        <w:jc w:val="left"/>
      </w:pPr>
      <w:r>
        <w:rPr>
          <w:u w:val="single"/>
        </w:rPr>
        <w:t xml:space="preserve">(b) A county must notify the affected federally recognized Indian tribe of the proposed revision using at least two methods, including by mail. Upon receiving a notice, the federally recognized Indian tribe may request a consultation to determine whether an agreement can be reached related to the revision of the county's urban growth area. If an agreement is not reached, the parties must enter mediation pursuant to RCW 36.70A.040.</w:t>
      </w:r>
    </w:p>
    <w:p>
      <w:pPr>
        <w:spacing w:before="0" w:after="0" w:line="408" w:lineRule="exact"/>
        <w:ind w:left="0" w:right="0" w:firstLine="576"/>
        <w:jc w:val="left"/>
      </w:pPr>
      <w:r>
        <w:rPr>
          <w:u w:val="single"/>
        </w:rPr>
        <w:t xml:space="preserve">(10)</w:t>
      </w:r>
      <w:r>
        <w:rPr/>
        <w:t xml:space="preserve">(a)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w:t>
      </w:r>
      <w:r>
        <w:t>((</w:t>
      </w:r>
      <w:r>
        <w:rPr>
          <w:strike/>
        </w:rPr>
        <w:t xml:space="preserve">(8)</w:t>
      </w:r>
      <w:r>
        <w:t>))</w:t>
      </w:r>
      <w:r>
        <w:rPr/>
        <w:t xml:space="preserve"> </w:t>
      </w:r>
      <w:r>
        <w:rPr>
          <w:u w:val="single"/>
        </w:rPr>
        <w:t xml:space="preserve">(10)</w:t>
      </w:r>
      <w:r>
        <w:rPr/>
        <w:t xml:space="preserve">(a)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w:t>
      </w:r>
      <w:r>
        <w:t>((</w:t>
      </w:r>
      <w:r>
        <w:rPr>
          <w:strike/>
        </w:rPr>
        <w:t xml:space="preserve">(8)</w:t>
      </w:r>
      <w:r>
        <w:t>))</w:t>
      </w:r>
      <w:r>
        <w:rPr/>
        <w:t xml:space="preserve"> </w:t>
      </w:r>
      <w:r>
        <w:rPr>
          <w:u w:val="single"/>
        </w:rPr>
        <w:t xml:space="preserve">(10)</w:t>
      </w:r>
      <w:r>
        <w:rPr/>
        <w:t xml:space="preserve">, "one hundred year floodplain" means the same as "special flood hazard area" as set forth in WAC 173-158-040 as it exists on July 26, 2009.</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floodplains, fish and wildlife habitats, or geological hazards.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6,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6466551454ad407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7c500b96004ea0" /><Relationship Type="http://schemas.openxmlformats.org/officeDocument/2006/relationships/footer" Target="/word/footer1.xml" Id="R6466551454ad407e" /></Relationships>
</file>