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f3492a2b240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6027</w:t>
      </w:r>
    </w:p>
    <w:p>
      <w:pPr>
        <w:jc w:val="center"/>
        <w:spacing w:before="480" w:after="0" w:line="240"/>
      </w:pPr>
      <w:r>
        <w:t xml:space="preserve">Chapter </w:t>
      </w:r>
      <w:r>
        <w:rPr/>
        <w:t xml:space="preserve">42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INSURER HOLDING COMPANY ACT—REVISION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Stanford, Kuderer, and Nobles; by request of Insurance Commissioner</w:t>
      </w:r>
    </w:p>
    <w:p/>
    <w:p>
      <w:r>
        <w:rPr>
          <w:t xml:space="preserve">Prefiled 01/05/24.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and amending RCW 48.31B.005, 48.31B.025, and 48.31B.038.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2020 c 243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affiliate of, or person affiliated with, a specific person, and includes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insurance commissioner, the commissioner's deputies, or the office of the insurance commissioner, as appropriate.</w:t>
      </w:r>
    </w:p>
    <w:p>
      <w:pPr>
        <w:spacing w:before="0" w:after="0" w:line="408" w:lineRule="exact"/>
        <w:ind w:left="0" w:right="0" w:firstLine="576"/>
        <w:jc w:val="left"/>
      </w:pPr>
      <w:r>
        <w:rPr/>
        <w:t xml:space="preserve">(3)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t xml:space="preserve">(5) </w:t>
      </w:r>
      <w:r>
        <w:rPr>
          <w:u w:val="single"/>
        </w:rPr>
        <w:t xml:space="preserve">"Group capital calculation instructions" means the group capital calculation instructions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(6)</w:t>
      </w:r>
      <w:r>
        <w:rPr/>
        <w:t xml:space="preserve"> "Group-wide supervisor" means the regulatory official authorized to engage in conducting and coordinating group-wide supervision activities who is determined or acknowledged by the commissioner under RCW 48.31B.036 to have sufficient contacts with the internationally active insurance group.</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"Insurance holding company system" means a system that consists of two or more affiliated persons, one or more of which is an insurer.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"Internationally active insurance group" means an insurance holding company system that:</w:t>
      </w:r>
    </w:p>
    <w:p>
      <w:pPr>
        <w:spacing w:before="0" w:after="0" w:line="408" w:lineRule="exact"/>
        <w:ind w:left="0" w:right="0" w:firstLine="576"/>
        <w:jc w:val="left"/>
      </w:pPr>
      <w:r>
        <w:rPr/>
        <w:t xml:space="preserve">(a) Includes an insurer registered under RCW 48.31B.025; and</w:t>
      </w:r>
    </w:p>
    <w:p>
      <w:pPr>
        <w:spacing w:before="0" w:after="0" w:line="408" w:lineRule="exact"/>
        <w:ind w:left="0" w:right="0" w:firstLine="576"/>
        <w:jc w:val="left"/>
      </w:pPr>
      <w:r>
        <w:rPr/>
        <w:t xml:space="preserve">(b) Meets the following criteria:</w:t>
      </w:r>
    </w:p>
    <w:p>
      <w:pPr>
        <w:spacing w:before="0" w:after="0" w:line="408" w:lineRule="exact"/>
        <w:ind w:left="0" w:right="0" w:firstLine="576"/>
        <w:jc w:val="left"/>
      </w:pPr>
      <w:r>
        <w:rPr/>
        <w:t xml:space="preserve">(i) Premiums written in at least three countries;</w:t>
      </w:r>
    </w:p>
    <w:p>
      <w:pPr>
        <w:spacing w:before="0" w:after="0" w:line="408" w:lineRule="exact"/>
        <w:ind w:left="0" w:right="0" w:firstLine="576"/>
        <w:jc w:val="left"/>
      </w:pPr>
      <w:r>
        <w:rPr/>
        <w:t xml:space="preserve">(ii) The percentage of gross premiums written outside the United States is at least ten percent of the insurance holding company system's total gross written premiums; and</w:t>
      </w:r>
    </w:p>
    <w:p>
      <w:pPr>
        <w:spacing w:before="0" w:after="0" w:line="408" w:lineRule="exact"/>
        <w:ind w:left="0" w:right="0" w:firstLine="576"/>
        <w:jc w:val="left"/>
      </w:pPr>
      <w:r>
        <w:rPr/>
        <w:t xml:space="preserve">(iii) Based on a three-year rolling average, the total assets of the insurance holding company system are at least fifty billion dollars or the total gross written premiums of the insurance holding company system are at least ten billion dollars.</w:t>
      </w:r>
    </w:p>
    <w:p>
      <w:pPr>
        <w:spacing w:before="0" w:after="0" w:line="408" w:lineRule="exact"/>
        <w:ind w:left="0" w:right="0" w:firstLine="576"/>
        <w:jc w:val="left"/>
      </w:pPr>
      <w:r>
        <w:t>((</w:t>
      </w:r>
      <w:r>
        <w:rPr>
          <w:strike/>
        </w:rPr>
        <w:t xml:space="preserve">(9)</w:t>
      </w:r>
      <w:r>
        <w:t>))</w:t>
      </w:r>
      <w:r>
        <w:rPr/>
        <w:t xml:space="preserve"> </w:t>
      </w:r>
      <w:r>
        <w:rPr>
          <w:u w:val="single"/>
        </w:rPr>
        <w:t xml:space="preserve">(10) "National association of insurance commissioners liquidity stress test framework" means a separate national association of insurance commissioners publication which includes a history of the national association of insurance commissioners' development of regulatory liquidity stress testing, the scope criteria applicable for a specific data year, and the liquidity stress test instructions and reporting templates for a specific data year, such scope criteria, instructions, and reporting template being as adopted by the national association of insurance commissioners and as amended by the national association of insurance commissioners from time to time in accordance with the procedures adopted by the national association of insurance commissioners.</w:t>
      </w:r>
    </w:p>
    <w:p>
      <w:pPr>
        <w:spacing w:before="0" w:after="0" w:line="408" w:lineRule="exact"/>
        <w:ind w:left="0" w:right="0" w:firstLine="576"/>
        <w:jc w:val="left"/>
      </w:pPr>
      <w:r>
        <w:rPr>
          <w:u w:val="single"/>
        </w:rPr>
        <w:t xml:space="preserve">(11)</w:t>
      </w:r>
      <w:r>
        <w:rPr/>
        <w:t xml:space="preserve"> "Person" means an individual, a corporation, a partnership, an association, a joint stock company, a trust, an unincorporated organization, any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t>((</w:t>
      </w:r>
      <w:r>
        <w:rPr>
          <w:strike/>
        </w:rPr>
        <w:t xml:space="preserve">(10)</w:t>
      </w:r>
      <w:r>
        <w:t>))</w:t>
      </w:r>
      <w:r>
        <w:rPr/>
        <w:t xml:space="preserve"> </w:t>
      </w:r>
      <w:r>
        <w:rPr>
          <w:u w:val="single"/>
        </w:rPr>
        <w:t xml:space="preserve">(12) "Scope criteria" means the designated exposure bases along with minimum magnitudes thereof for the specified data year, used to establish a preliminary list of insurers considered scoped into the national association of insurance commissioners liquidity stress test framework for that data year.</w:t>
      </w:r>
    </w:p>
    <w:p>
      <w:pPr>
        <w:spacing w:before="0" w:after="0" w:line="408" w:lineRule="exact"/>
        <w:ind w:left="0" w:right="0" w:firstLine="576"/>
        <w:jc w:val="left"/>
      </w:pPr>
      <w:r>
        <w:rPr>
          <w:u w:val="single"/>
        </w:rPr>
        <w:t xml:space="preserve">(13)</w:t>
      </w:r>
      <w:r>
        <w:rPr/>
        <w:t xml:space="preserve"> "Securityholder" means a securityholder of a specified person who owns any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"Subsidiary" means a subsidiary of a specified person who is an affiliate controlled by that person directly or indirectly through one or more intermediaries.</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"Voting security" includes any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2015 c 122 s 5 are each amended to read as follows:</w:t>
      </w:r>
    </w:p>
    <w:p>
      <w:pPr>
        <w:spacing w:before="0" w:after="0" w:line="408" w:lineRule="exact"/>
        <w:ind w:left="0" w:right="0" w:firstLine="576"/>
        <w:jc w:val="left"/>
      </w:pPr>
      <w:r>
        <w:rPr/>
        <w:t xml:space="preserve">(1) Every insurer that is authorized to do business in this state and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Any insurer which is subject to registration under this section shall register within fifteen days after it becomes subject to registration, and annually thereafter by May 1st of each year for the previous calendar year, unless the commissioner for good cause shown extends the time for registration, and then within the extended time. The commissioner may require any insurer authorized to do business in the state that is a member of a holding company system, and which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Every insurer subject to registration shall file the registration statement on a form and in a format prescribed by the national association of insurance commissioners,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t xml:space="preserve">(f) Other matters concerning transactions between registered insurers and any affiliates as may be included from time to time in registration forms adopted or approved by the commissioner;</w:t>
      </w:r>
    </w:p>
    <w:p>
      <w:pPr>
        <w:spacing w:before="0" w:after="0" w:line="408" w:lineRule="exact"/>
        <w:ind w:left="0" w:right="0" w:firstLine="576"/>
        <w:jc w:val="left"/>
      </w:pPr>
      <w:r>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t xml:space="preserve">(h) Any other information required by the commissioner by rule.</w:t>
      </w:r>
    </w:p>
    <w:p>
      <w:pPr>
        <w:spacing w:before="0" w:after="0" w:line="408" w:lineRule="exact"/>
        <w:ind w:left="0" w:right="0" w:firstLine="576"/>
        <w:jc w:val="left"/>
      </w:pPr>
      <w:r>
        <w:rPr/>
        <w:t xml:space="preserve">(3) All registration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December 31st next preceding are not deemed material for purposes of this section. </w:t>
      </w:r>
      <w:r>
        <w:rPr>
          <w:u w:val="single"/>
        </w:rPr>
        <w:t xml:space="preserve">The definition of materiality provided in this subsection shall not apply for purposes of the group capital calculation or the liquidity stress test framework.</w:t>
      </w:r>
    </w:p>
    <w:p>
      <w:pPr>
        <w:spacing w:before="0" w:after="0" w:line="408" w:lineRule="exact"/>
        <w:ind w:left="0" w:right="0" w:firstLine="576"/>
        <w:jc w:val="left"/>
      </w:pPr>
      <w:r>
        <w:rPr/>
        <w:t xml:space="preserve">(5) Subject to RCW 48.31B.030(2), each registered insurer shall report to the commissioner all dividends and other distributions to shareholders within fifteen business days after their declaration.</w:t>
      </w:r>
    </w:p>
    <w:p>
      <w:pPr>
        <w:spacing w:before="0" w:after="0" w:line="408" w:lineRule="exact"/>
        <w:ind w:left="0" w:right="0" w:firstLine="576"/>
        <w:jc w:val="left"/>
      </w:pPr>
      <w:r>
        <w:rPr/>
        <w:t xml:space="preserve">(6) Any person within an insurance holding company system subject to registration is required to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which is part of an insurance holding company system to register on behalf of an affiliated insurer which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Any person may file with the commissioner a disclaimer of affiliation with any authorized insurer, or any insurer or any member of an insurance holding company system may file the disclaimer. The disclaimer must fully disclose all material relationships and bases for affiliation between the person and the insurer as well as the basis for disclaiming the affiliation. 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t xml:space="preserve">(13)</w:t>
      </w:r>
      <w:r>
        <w:rPr>
          <w:u w:val="single"/>
        </w:rPr>
        <w:t xml:space="preserve">(a) The ultimate controlling person of every insurer subject to registration shall concurrently file with the registration an annual group capital calculation as directed by the lead state commissioner. The report shall be completed in accordance with the national association of insurance commissioners group capital calculation instructions, which may permit the lead state commissioner to allow a controlling person that is not the ultimate controlling person to file the group capital calculation. The report shall be filed with the lead state commissioner of the insurance holding company system as determined by the commissioner in accordance with the procedures within the financial analysis handbook adopted by the national association of insurance commissioners. Insurance holding company systems described below are exempt from filing the group capital calculation:</w:t>
      </w:r>
    </w:p>
    <w:p>
      <w:pPr>
        <w:spacing w:before="0" w:after="0" w:line="408" w:lineRule="exact"/>
        <w:ind w:left="0" w:right="0" w:firstLine="576"/>
        <w:jc w:val="left"/>
      </w:pPr>
      <w:r>
        <w:rPr>
          <w:u w:val="single"/>
        </w:rPr>
        <w:t xml:space="preserve">(i) An insurance holding company system that has only one insurer within its holding company structure, that only writes business and is only licensed in its domestic state, and assumes no business from any other insurer;</w:t>
      </w:r>
    </w:p>
    <w:p>
      <w:pPr>
        <w:spacing w:before="0" w:after="0" w:line="408" w:lineRule="exact"/>
        <w:ind w:left="0" w:right="0" w:firstLine="576"/>
        <w:jc w:val="left"/>
      </w:pPr>
      <w:r>
        <w:rPr>
          <w:u w:val="single"/>
        </w:rPr>
        <w:t xml:space="preserve">(ii) An insurance holding company system that is required to perform a group capital calculation specified by the United States federal reserve board. The lead state commissioner shall request the calculation from the federal reserve board under the terms of information sharing agreements in effect. If the federal reserve board cannot share the calculation with the lead state commissioner, the insurance holding company system is not exempt from the group capital calculation filing;</w:t>
      </w:r>
    </w:p>
    <w:p>
      <w:pPr>
        <w:spacing w:before="0" w:after="0" w:line="408" w:lineRule="exact"/>
        <w:ind w:left="0" w:right="0" w:firstLine="576"/>
        <w:jc w:val="left"/>
      </w:pPr>
      <w:r>
        <w:rPr>
          <w:u w:val="single"/>
        </w:rPr>
        <w:t xml:space="preserve">(iii) An insurance holding company system whose non-United States group-wide supervisor is located within a reciprocal jurisdiction as described in RCW 48.12.462 that recognizes the United States state regulatory approach to group supervision and group capital;</w:t>
      </w:r>
    </w:p>
    <w:p>
      <w:pPr>
        <w:spacing w:before="0" w:after="0" w:line="408" w:lineRule="exact"/>
        <w:ind w:left="0" w:right="0" w:firstLine="576"/>
        <w:jc w:val="left"/>
      </w:pPr>
      <w:r>
        <w:rPr>
          <w:u w:val="single"/>
        </w:rPr>
        <w:t xml:space="preserve">(iv) An insurance holding company system:</w:t>
      </w:r>
    </w:p>
    <w:p>
      <w:pPr>
        <w:spacing w:before="0" w:after="0" w:line="408" w:lineRule="exact"/>
        <w:ind w:left="0" w:right="0" w:firstLine="576"/>
        <w:jc w:val="left"/>
      </w:pPr>
      <w:r>
        <w:rPr>
          <w:u w:val="single"/>
        </w:rPr>
        <w:t xml:space="preserve">(A) That provides information to the lead state that meets the requirements for accreditation under the national association of insurance commissioners financial standards and accreditation program, either directly or indirectly through the group-wide supervisor, who has determined such information is satisfactory to allow the lead state to comply with the national association of insurance commissioners group supervision approach, as detailed in the national association of insurance commissioners financial analysis handbook; and</w:t>
      </w:r>
    </w:p>
    <w:p>
      <w:pPr>
        <w:spacing w:before="0" w:after="0" w:line="408" w:lineRule="exact"/>
        <w:ind w:left="0" w:right="0" w:firstLine="576"/>
        <w:jc w:val="left"/>
      </w:pPr>
      <w:r>
        <w:rPr>
          <w:u w:val="single"/>
        </w:rPr>
        <w:t xml:space="preserve">(B) Whose non-United States group-wide supervisor that is not in a reciprocal jurisdiction recognizes and accepts, as specified by the commissioner in rule, the group capital calculation as the worldwide group capital assessment for United States insurance groups who operate in that jurisdiction.</w:t>
      </w:r>
    </w:p>
    <w:p>
      <w:pPr>
        <w:spacing w:before="0" w:after="0" w:line="408" w:lineRule="exact"/>
        <w:ind w:left="0" w:right="0" w:firstLine="576"/>
        <w:jc w:val="left"/>
      </w:pPr>
      <w:r>
        <w:rPr>
          <w:u w:val="single"/>
        </w:rPr>
        <w:t xml:space="preserve">(b) Notwithstanding the provisions of (a)(iii) and (iv) of this subsection, the lead state commissioner shall require the group capital calculation for United States operations of any non-United States based insurance holding company system where, after any necessary consultation with other supervisors or officials, it is deemed appropriate by the lead state commissioner for prudential oversight and solvency monitoring purposes or for ensuring the competitiveness of the insurance marketplace. </w:t>
      </w:r>
    </w:p>
    <w:p>
      <w:pPr>
        <w:spacing w:before="0" w:after="0" w:line="408" w:lineRule="exact"/>
        <w:ind w:left="0" w:right="0" w:firstLine="576"/>
        <w:jc w:val="left"/>
      </w:pPr>
      <w:r>
        <w:rPr>
          <w:u w:val="single"/>
        </w:rPr>
        <w:t xml:space="preserve">(c) Notwithstanding the exemptions from filing the group capital calculation stated in (a) of this subsection, the lead state commissioner has the discretion to exempt the ultimate controlling person from filing the annual group capital calculation or to accept a limited group capital filing or report in accordance with criteria as specified by the commissioner in regulation.</w:t>
      </w:r>
    </w:p>
    <w:p>
      <w:pPr>
        <w:spacing w:before="0" w:after="0" w:line="408" w:lineRule="exact"/>
        <w:ind w:left="0" w:right="0" w:firstLine="576"/>
        <w:jc w:val="left"/>
      </w:pPr>
      <w:r>
        <w:rPr>
          <w:u w:val="single"/>
        </w:rPr>
        <w:t xml:space="preserve">(d) If the lead state commissioner determines that an insurance holding company system no longer meets one or more of the requirements for an exemption from filing the group capital calculation under this section, the insurance holding company system shall file the group capital calculation at the next annual filing date unless given an extension by the lead state commissioner based on reasonable grounds shown.</w:t>
      </w:r>
    </w:p>
    <w:p>
      <w:pPr>
        <w:spacing w:before="0" w:after="0" w:line="408" w:lineRule="exact"/>
        <w:ind w:left="0" w:right="0" w:firstLine="576"/>
        <w:jc w:val="left"/>
      </w:pPr>
      <w:r>
        <w:rPr>
          <w:u w:val="single"/>
        </w:rPr>
        <w:t xml:space="preserve">(14) The ultimate controlling person of every insurer subject to registration and also scoped into the national association of insurance commissioners liquidity stress test framework shall file the results of a specific year's liquidity stress test. The filing shall be made to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(a) The national association of insurance commissioners liquidity stress test framework must include scope criteria applicable to a specific data year. These scope criteria must be reviewed at least annually by the financial stability task force or its successor. Any change to the national association of insurance commissioners liquidity stress test framework or to the data year for which the scope criteria are to be measured shall be effective on January 1st of the year following the calendar year when such changes are adopted. Insurers meeting at least one threshold of the scope criteria are considered scoped into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not be scoped into the framework for that data year. Similarly, insurers that do not trigger at least one threshold of the scope criteria are considered scoped out of the national association of insurance commissioners liquidity stress test framework for the specified data year, unless the lead state commissioner, in consultation with the national association of insurance commissioners financial stability task force or its successor, determines the insurer should be scoped into the framework for that data year.</w:t>
      </w:r>
    </w:p>
    <w:p>
      <w:pPr>
        <w:spacing w:before="0" w:after="0" w:line="408" w:lineRule="exact"/>
        <w:ind w:left="0" w:right="0" w:firstLine="576"/>
        <w:jc w:val="left"/>
      </w:pPr>
      <w:r>
        <w:rPr>
          <w:u w:val="single"/>
        </w:rPr>
        <w:t xml:space="preserve">(b) The performance of, and filing of the results from, a specific year's liquidity stress test shall comply with the national association of insurance commissioners liquidity stress test framework's instructions and reporting templates for that year and any lead state commissioner determinations, in consultation with the financial stability task force or its successor, provided within the framework.</w:t>
      </w:r>
    </w:p>
    <w:p>
      <w:pPr>
        <w:spacing w:before="0" w:after="0" w:line="408" w:lineRule="exact"/>
        <w:ind w:left="0" w:right="0" w:firstLine="576"/>
        <w:jc w:val="left"/>
      </w:pPr>
      <w:r>
        <w:rPr>
          <w:u w:val="single"/>
        </w:rPr>
        <w:t xml:space="preserve">(15)</w:t>
      </w:r>
      <w:r>
        <w:rPr/>
        <w:t xml:space="preserve"> The failure to file a registration statement or any summary of the registration statement or enterprise risk filing required by this section within the time specified for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038</w:t>
      </w:r>
      <w:r>
        <w:rPr/>
        <w:t xml:space="preserve"> and 2020 c 243 s 2 are each amended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or provided to the commissioner under RCW 48.31B.015(2) (l) and (m), 48.31B.025, 48.31B.030, and 48.31B.036 </w:t>
      </w:r>
      <w:r>
        <w:rPr>
          <w:u w:val="single"/>
        </w:rPr>
        <w:t xml:space="preserve">are recognized by this state as being proprietary and to contain trade secrets, and</w:t>
      </w:r>
      <w:r>
        <w:rPr/>
        <w:t xml:space="preserve">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u w:val="single"/>
        </w:rPr>
        <w:t xml:space="preserve">(a) For purposes of the information reported and provided to the commissioner pursuant to RCW 48.31B.025(13), the commissioner shall maintain the confidentiality of the group capital calculation and group capital ratio produced within the calculation and any group capital information received from an insurance holding company supervised by the federal reserve board or any United States group-wide supervisor.</w:t>
      </w:r>
    </w:p>
    <w:p>
      <w:pPr>
        <w:spacing w:before="0" w:after="0" w:line="408" w:lineRule="exact"/>
        <w:ind w:left="0" w:right="0" w:firstLine="576"/>
        <w:jc w:val="left"/>
      </w:pPr>
      <w:r>
        <w:rPr>
          <w:u w:val="single"/>
        </w:rPr>
        <w:t xml:space="preserve">(b) For purposes of the information reported and provided to the commissioner pursuant to RCW 48.31B.025(14), the commissioner shall maintain the confidentiality of the liquidity stress test results and supporting disclosures and any liquidity stress test information received from an insurance holding company supervised by the federal reserve board and non-United States group-wide supervisors.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t>
      </w:r>
      <w:r>
        <w:rPr>
          <w:u w:val="single"/>
        </w:rPr>
        <w:t xml:space="preserve">including proprietary and trade secret documents and materials,</w:t>
      </w:r>
      <w:r>
        <w:rPr/>
        <w:t xml:space="preserve"> with other state, federal, and international regulatory agencies, with the national association of insurance commissioners </w:t>
      </w:r>
      <w:r>
        <w:t>((</w:t>
      </w:r>
      <w:r>
        <w:rPr>
          <w:strike/>
        </w:rPr>
        <w:t xml:space="preserve">and its affiliates and subsidiaries</w:t>
      </w:r>
      <w:r>
        <w:t>))</w:t>
      </w:r>
      <w:r>
        <w:rPr/>
        <w:t xml:space="preserve">, </w:t>
      </w:r>
      <w:r>
        <w:rPr>
          <w:u w:val="single"/>
        </w:rPr>
        <w:t xml:space="preserve">with any third-party consultants designated by the commissioner,</w:t>
      </w:r>
      <w:r>
        <w:rPr/>
        <w:t xml:space="preserve"> and with state, federal, and international law enforcement authorities, including members of any supervisory college described in RCW 48.31B.037,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w:t>
      </w:r>
      <w:r>
        <w:rPr>
          <w:u w:val="single"/>
        </w:rPr>
        <w:t xml:space="preserve">, including proprietary and trade secret information,</w:t>
      </w:r>
      <w:r>
        <w:rPr/>
        <w:t xml:space="preserve"> from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w:t>
      </w:r>
      <w:r>
        <w:rPr>
          <w:u w:val="single"/>
        </w:rPr>
        <w:t xml:space="preserve">and any third-party consultant designated by the commissioner</w:t>
      </w:r>
      <w:r>
        <w:rPr/>
        <w:t xml:space="preserve">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including procedures and protocols for sharing by the national association of insurance commissioners with other state, federal, or international regulators</w:t>
      </w:r>
      <w:r>
        <w:rPr>
          <w:u w:val="single"/>
        </w:rPr>
        <w:t xml:space="preserve">. The agreement shall provide that the recipient agrees in writing to maintain the confidentiality and privileged status of the documents, materials, or other information and has verified in writing the legal authority to maintain such confidentiality</w:t>
      </w:r>
      <w:r>
        <w:rPr/>
        <w:t xml:space="preserve">;</w:t>
      </w:r>
    </w:p>
    <w:p>
      <w:pPr>
        <w:spacing w:before="0" w:after="0" w:line="408" w:lineRule="exact"/>
        <w:ind w:left="0" w:right="0" w:firstLine="576"/>
        <w:jc w:val="left"/>
      </w:pPr>
      <w:r>
        <w:rPr/>
        <w:t xml:space="preserve">(ii) Specify that ownership of information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 remains with the commissioner and the national association of insurance commissioners' </w:t>
      </w:r>
      <w:r>
        <w:rPr>
          <w:u w:val="single"/>
        </w:rPr>
        <w:t xml:space="preserve">or third-party consultant's</w:t>
      </w:r>
      <w:r>
        <w:rPr/>
        <w:t xml:space="preserve"> use of the information is subject to the direction of the commissioner;</w:t>
      </w:r>
    </w:p>
    <w:p>
      <w:pPr>
        <w:spacing w:before="0" w:after="0" w:line="408" w:lineRule="exact"/>
        <w:ind w:left="0" w:right="0" w:firstLine="576"/>
        <w:jc w:val="left"/>
      </w:pPr>
      <w:r>
        <w:rPr/>
        <w:t xml:space="preserve">(iii) </w:t>
      </w:r>
      <w:r>
        <w:rPr>
          <w:u w:val="single"/>
        </w:rPr>
        <w:t xml:space="preserve">Excluding documents, materials, or other information reported pursuant to RCW 48.31B.025(14), prohibit the national association of insurance commissioners or third-party consultant designated by the commissioner from storing the information shared pursuant to this act in a permanent database after the underlying analysis is completed;</w:t>
      </w:r>
    </w:p>
    <w:p>
      <w:pPr>
        <w:spacing w:before="0" w:after="0" w:line="408" w:lineRule="exact"/>
        <w:ind w:left="0" w:right="0" w:firstLine="576"/>
        <w:jc w:val="left"/>
      </w:pPr>
      <w:r>
        <w:rPr>
          <w:u w:val="single"/>
        </w:rPr>
        <w:t xml:space="preserve">(iv)</w:t>
      </w:r>
      <w:r>
        <w:rPr/>
        <w:t xml:space="preserve"> Require prompt notice to be given to an insurer whose confidential information in the possession of the national association of insurance commissioners </w:t>
      </w:r>
      <w:r>
        <w:rPr>
          <w:u w:val="single"/>
        </w:rPr>
        <w:t xml:space="preserve">or a third-party consultant designated by the commissioner</w:t>
      </w:r>
      <w:r>
        <w:rPr/>
        <w:t xml:space="preserve"> pursuant to this chapter is subject to a request or subpoena to the national association of insurance commissioners </w:t>
      </w:r>
      <w:r>
        <w:rPr>
          <w:u w:val="single"/>
        </w:rPr>
        <w:t xml:space="preserve">or a third-party consultant designated by the commissioner</w:t>
      </w:r>
      <w:r>
        <w:rPr/>
        <w:t xml:space="preserve"> for disclosure or production; </w:t>
      </w:r>
      <w:r>
        <w:t>((</w:t>
      </w:r>
      <w:r>
        <w:rPr>
          <w:strike/>
        </w:rPr>
        <w:t xml:space="preserve">and</w:t>
      </w:r>
    </w:p>
    <w:p>
      <w:pPr>
        <w:spacing w:before="0" w:after="0" w:line="408" w:lineRule="exact"/>
        <w:ind w:left="0" w:right="0" w:firstLine="576"/>
        <w:jc w:val="left"/>
      </w:pPr>
      <w:r>
        <w:rPr>
          <w:strike/>
        </w:rPr>
        <w:t xml:space="preserve">(iv)</w:t>
      </w:r>
      <w:r>
        <w:t>))</w:t>
      </w:r>
      <w:r>
        <w:rPr/>
        <w:t xml:space="preserve"> </w:t>
      </w:r>
      <w:r>
        <w:rPr>
          <w:u w:val="single"/>
        </w:rPr>
        <w:t xml:space="preserve">(v)</w:t>
      </w:r>
      <w:r>
        <w:rPr/>
        <w:t xml:space="preserve"> Require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to consent to intervention by an insurer in any judicial or administrative action in which the national association of insurance commissioners </w:t>
      </w:r>
      <w:r>
        <w:t>((</w:t>
      </w:r>
      <w:r>
        <w:rPr>
          <w:strike/>
        </w:rPr>
        <w:t xml:space="preserve">and its affiliates and subsidiaries</w:t>
      </w:r>
      <w:r>
        <w:t>))</w:t>
      </w:r>
      <w:r>
        <w:rPr/>
        <w:t xml:space="preserve"> </w:t>
      </w:r>
      <w:r>
        <w:rPr>
          <w:u w:val="single"/>
        </w:rPr>
        <w:t xml:space="preserve">or third-party consultant designated by the commissioner</w:t>
      </w:r>
      <w:r>
        <w:rPr/>
        <w:t xml:space="preserve"> may be required to disclose confidential information about the insurer shared with the national association of insurance commissioners </w:t>
      </w:r>
      <w:r>
        <w:t>((</w:t>
      </w:r>
      <w:r>
        <w:rPr>
          <w:strike/>
        </w:rPr>
        <w:t xml:space="preserve">and its affiliates and subsidiaries</w:t>
      </w:r>
      <w:r>
        <w:t>))</w:t>
      </w:r>
      <w:r>
        <w:rPr/>
        <w:t xml:space="preserve"> </w:t>
      </w:r>
      <w:r>
        <w:rPr>
          <w:u w:val="single"/>
        </w:rPr>
        <w:t xml:space="preserve">or a third-party consultant designated by the commissioner</w:t>
      </w:r>
      <w:r>
        <w:rPr/>
        <w:t xml:space="preserve"> pursuant to this chapter</w:t>
      </w:r>
      <w:r>
        <w:rPr>
          <w:u w:val="single"/>
        </w:rPr>
        <w:t xml:space="preserve">; and</w:t>
      </w:r>
    </w:p>
    <w:p>
      <w:pPr>
        <w:spacing w:before="0" w:after="0" w:line="408" w:lineRule="exact"/>
        <w:ind w:left="0" w:right="0" w:firstLine="576"/>
        <w:jc w:val="left"/>
      </w:pPr>
      <w:r>
        <w:rPr>
          <w:u w:val="single"/>
        </w:rPr>
        <w:t xml:space="preserve">(vi) For documents, materials, or other information reporting pursuant to RCW 48.31B.025(14), in the case of an agreement involving a third-party consultant, provide for notification of the identity of the consultant to the applicable insurer</w:t>
      </w:r>
      <w:r>
        <w:rPr/>
        <w:t xml:space="preserve">.</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w:t>
      </w:r>
      <w:r>
        <w:rPr>
          <w:u w:val="single"/>
        </w:rPr>
        <w:t xml:space="preserve">or a third-party consultant designated by the commissioner</w:t>
      </w:r>
      <w:r>
        <w:rPr/>
        <w:t xml:space="preserve"> pursuant to this chapter are confidential by law and privileged, are not subject to chapter 42.56 RCW, are not subject to subpoena, and are not subject to discovery or admissible in evidence in any private civil action.</w:t>
      </w:r>
    </w:p>
    <w:p>
      <w:pPr>
        <w:spacing w:before="0" w:after="0" w:line="408" w:lineRule="exact"/>
        <w:ind w:left="0" w:right="0" w:firstLine="576"/>
        <w:jc w:val="left"/>
      </w:pPr>
      <w:r>
        <w:rPr>
          <w:u w:val="single"/>
        </w:rPr>
        <w:t xml:space="preserve">(7) The group capital calculation and resulting group capital ratio required under RCW 48.31B.025(13) and the liquidity stress test along with its results and supporting disclosures required under RCW 48.318.025(14) are regulatory tools for assessing group risks and capital adequacy and group liquidity risks, respectively, and are not intended as a means to rank insurers or insurance holding company systems generally. Therefore, except as otherwise may be required under the provisions of this act, the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any electronic means of communication available to the public, or in any other way as an advertisement, announcement, or statement containing a representation or statement with regard to the group capital calculation, group capital ratio, the liquidity stress test results, or supporting disclosures for the liquidity stress test of any insurer or any insurer group, or of any component derived in the calculation by any insurer, broker, or other person engaged in any manner in the insurance business would be misleading and is therefore prohibited; provided, however, that if any materially false statement with respect to the group capital calculation, resulting group capital ratio, an inappropriate comparison of any amount to an insurer's or insurance group's group capital calculation or resulting group capital ratio, liquidity stress test result, supporting disclosures for the liquidity stress test, or an inappropriate comparison of any amount to an insurer's or insurance group's liquidity stress test result or supporting disclosures is published in any written publication and the insurer is able to demonstrate to the commissioner with substantial proof the falsity of such statement or the inappropriateness, as the case may be, then the insurer may publish announcements in a written publication if the sole purpose of the announcement is to rebut the materially false statement.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f76f8ac901547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1931694bd4a8e" /><Relationship Type="http://schemas.openxmlformats.org/officeDocument/2006/relationships/footer" Target="/word/footer1.xml" Id="R8f76f8ac901547d0" /></Relationships>
</file>