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c8c364d4444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6058</w:t>
      </w:r>
    </w:p>
    <w:p>
      <w:pPr>
        <w:jc w:val="center"/>
        <w:spacing w:before="480" w:after="0" w:line="240"/>
      </w:pPr>
      <w:r>
        <w:t xml:space="preserve">Chapter </w:t>
      </w:r>
      <w:r>
        <w:rPr/>
        <w:t xml:space="preserve">352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CARBON MARKET LINKAGE—CALIFORNIA-QUEBEC CARBON MARKET</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28</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Nguyen, Hunt, Kuderer, Liias, Mullet, Pedersen, Saldaña, Shewmake, and Stanford; by request of Department of Ecology)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70A.65.210,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w:t>
      </w:r>
      <w:r>
        <w:t>((</w:t>
      </w:r>
      <w:r>
        <w:rPr>
          <w:strike/>
        </w:rPr>
        <w:t xml:space="preserve">fuels derived from biomass that have at least 40 percent lower greenhouse gas emissions based on a full life-cycle analysis when compared to petroleum fuels for which biofuels are capable as serving as a substitute</w:t>
      </w:r>
      <w:r>
        <w:t>))</w:t>
      </w:r>
      <w:r>
        <w:rPr/>
        <w:t xml:space="preserve"> </w:t>
      </w:r>
      <w:r>
        <w:rPr>
          <w:u w:val="single"/>
        </w:rPr>
        <w:t xml:space="preserve">whichever of the following fuels derived from biomass has lower associated life-cycle greenhouse gas emissions: (a) Fuels that have at least 30 percent lower greenhouse gas emissions based on a full life-cycle analysis when compared to petroleum fuels for which biofuels are capable as serving as a substitute; or (b) fuels that meet a standard adopted by the department by rule that align with the definition of biofuel, or other standards applicable to biofuel, established by a jurisdiction with which the department has entered into a linkage agreement</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the state" means electricity that is generated outside the state of Washington and delivered into Washington with the final point of delivery outside Washington including, but not limited to, electricity wheeled through the state on a single NERC e-tag, or wheeled into and out of Washington at a common point or trading hub on the power system on separate e-tags within the same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w:t>
      </w:r>
      <w:r>
        <w:rPr>
          <w:u w:val="single"/>
        </w:rPr>
        <w:t xml:space="preserve">Take into consideration forest practices rules where a project is located, or applicable best management practices established by federal, state, or local governments that relate to forest management;</w:t>
      </w:r>
    </w:p>
    <w:p>
      <w:pPr>
        <w:spacing w:before="0" w:after="0" w:line="408" w:lineRule="exact"/>
        <w:ind w:left="0" w:right="0" w:firstLine="576"/>
        <w:jc w:val="left"/>
      </w:pPr>
      <w:r>
        <w:rPr>
          <w:u w:val="single"/>
        </w:rPr>
        <w:t xml:space="preserve">(c)</w:t>
      </w:r>
      <w:r>
        <w:rPr/>
        <w:t xml:space="preserve">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Before entering a linkage agreement, the department must post and maintain on its website, and provide notification to the appropriate policy and fiscal committees of the legislature, a quarterly status update regarding any potential linkage agreement that the department has determined to seek to enter into under this section. The status report must include:</w:t>
      </w:r>
    </w:p>
    <w:p>
      <w:pPr>
        <w:spacing w:before="0" w:after="0" w:line="408" w:lineRule="exact"/>
        <w:ind w:left="0" w:right="0" w:firstLine="576"/>
        <w:jc w:val="left"/>
      </w:pPr>
      <w:r>
        <w:rPr>
          <w:u w:val="single"/>
        </w:rPr>
        <w:t xml:space="preserve">(a) An outline of the expected steps that the department expects that it and linked jurisdictions will need to take prior to entering into a linkage agreement, including the requirements of subsection (3) of this section;</w:t>
      </w:r>
    </w:p>
    <w:p>
      <w:pPr>
        <w:spacing w:before="0" w:after="0" w:line="408" w:lineRule="exact"/>
        <w:ind w:left="0" w:right="0" w:firstLine="576"/>
        <w:jc w:val="left"/>
      </w:pPr>
      <w:r>
        <w:rPr>
          <w:u w:val="single"/>
        </w:rPr>
        <w:t xml:space="preserve">(b) Notation of any steps completed or initiated under (a) of this subsection; and</w:t>
      </w:r>
    </w:p>
    <w:p>
      <w:pPr>
        <w:spacing w:before="0" w:after="0" w:line="408" w:lineRule="exact"/>
        <w:ind w:left="0" w:right="0" w:firstLine="576"/>
        <w:jc w:val="left"/>
      </w:pPr>
      <w:r>
        <w:rPr>
          <w:u w:val="single"/>
        </w:rPr>
        <w:t xml:space="preserve">(c) An estimate of the time frames of possible completion for any steps identified under (a) of this subsection that have not yet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t>((</w:t>
      </w:r>
      <w:r>
        <w:rPr>
          <w:strike/>
        </w:rPr>
        <w:t xml:space="preserve">and</w:t>
      </w:r>
      <w:r>
        <w:t>))</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r>
        <w:rPr>
          <w:u w:val="single"/>
        </w:rPr>
        <w:t xml:space="preserve">; and</w:t>
      </w:r>
    </w:p>
    <w:p>
      <w:pPr>
        <w:spacing w:before="0" w:after="0" w:line="408" w:lineRule="exact"/>
        <w:ind w:left="0" w:right="0" w:firstLine="576"/>
        <w:jc w:val="left"/>
      </w:pPr>
      <w:r>
        <w:rPr>
          <w:u w:val="single"/>
        </w:rPr>
        <w:t xml:space="preserve">(iii) To the extent practicable, the department's rules must seek to minimize reporting burdens through the utilization of existing reports and disclosures for electric power entities who report greenhouse gas emissions that equal 10,000 metric tons of carbon dioxide equivalent or less annually from all electricity that is purchased, sold, imported, exported, or exchanged in Washington</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b13a4cd0e2e448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0711676664038" /><Relationship Type="http://schemas.openxmlformats.org/officeDocument/2006/relationships/footer" Target="/word/footer1.xml" Id="Rb13a4cd0e2e448fc" /></Relationships>
</file>