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0d4f71ee340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6109</w:t>
      </w:r>
    </w:p>
    <w:p>
      <w:pPr>
        <w:jc w:val="center"/>
        <w:spacing w:before="480" w:after="0" w:line="240"/>
      </w:pPr>
      <w:r>
        <w:t xml:space="preserve">Chapter </w:t>
      </w:r>
      <w:r>
        <w:rPr/>
        <w:t xml:space="preserve">328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 WELFARE AND DEPENDENCY—HIGH-POTENCY SYNTHETIC OPIOIDS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6109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Boehnke, Braun, Gildon, Hasegawa, Kuderer, Liias, Lovelett, Lovick, Nguyen, Nobles, Saldaña, Short,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removal process in circumstances involving high-potency synthetic opioids; amending RCW 13.34.050, 13.34.130, 26.44.050, 26.44.056, and 2.56.230; reenacting and amending RCW 13.34.030 and 13.34.065; adding new sections to chapter 43.216 RCW; adding a new section to chapter 43.70 RCW; adding a new section to chapter 2.56 RCW; adding a new section to chapter 41.05 RCW; adding new sections to chapter 74.13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high-potency synthetic opioids pose to vulnerable children. The legislature declares that the lethality of high-potency synthetic opioids and public health guidance from the department of health related to high-potency synthetic opioids should be given great weight in determining whether a child is at risk of imminent physical harm due to child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from the department of health related to high-potency synthetic opioids in determining whether removal is necessary to prevent imminent physical harm to the child due to child abuse or neglect</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w:t>
      </w:r>
      <w:r>
        <w:rPr>
          <w:u w:val="single"/>
        </w:rPr>
        <w:t xml:space="preserve">a high-potency synthetic opioid,</w:t>
      </w:r>
      <w:r>
        <w:rPr/>
        <w:t xml:space="preserve">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from the department of health related to high-potency synthetic opioids when determining whether removal of the child is necessary to prevent imminent physical harm due to child abuse or neglect</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from the department of health related to high-potency synthetic opioids when deciding whether to place the child with the parent.</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from the department of health related to high-potency synthetic opioids, including fentanyl, when deciding whether a manifest danger exists.</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To the extent possible,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w:t>
      </w:r>
      <w:r>
        <w:t>((</w:t>
      </w:r>
      <w:r>
        <w:rPr>
          <w:strike/>
        </w:rPr>
        <w:t xml:space="preserve">abuse</w:t>
      </w:r>
      <w:r>
        <w:t>))</w:t>
      </w:r>
      <w:r>
        <w:rPr/>
        <w:t xml:space="preserve"> </w:t>
      </w:r>
      <w:r>
        <w:rPr>
          <w:u w:val="single"/>
        </w:rPr>
        <w:t xml:space="preserve">use disorder, including the risk and danger presented to children and youth</w:t>
      </w:r>
      <w:r>
        <w:rPr/>
        <w:t xml:space="preserv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How to apply the child safety framework to crucial aspects of dependency cases, including safety assessment, safety planning, and case planning; and</w:t>
      </w:r>
    </w:p>
    <w:p>
      <w:pPr>
        <w:spacing w:before="0" w:after="0" w:line="408" w:lineRule="exact"/>
        <w:ind w:left="0" w:right="0" w:firstLine="576"/>
        <w:jc w:val="left"/>
      </w:pPr>
      <w:r>
        <w:rPr>
          <w:u w:val="single"/>
        </w:rPr>
        <w:t xml:space="preserve">(xvi)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collaboration with the department of children, youth, and families and the poison information centers described under chapter 18.76 RCW, shall convene a work group on exposure of children to fentanyl to provide information for child welfare workers, juvenile courts, caregivers, and families regarding the risks of fentanyl exposure for children receiving child welfare services defined under RCW 74.13.020 or child protective services under RCW 26.44.020 and child welfare workers. The information shall be made publicly available and distributed to child welfare court professionals, including:</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develop, deliver, and regularly update training regarding child safety and the risk and danger presented to children and youth by high-potency synthetic opioids and other substances impacting families.</w:t>
      </w:r>
    </w:p>
    <w:p>
      <w:pPr>
        <w:spacing w:before="0" w:after="0" w:line="408" w:lineRule="exact"/>
        <w:ind w:left="0" w:right="0" w:firstLine="576"/>
        <w:jc w:val="left"/>
      </w:pPr>
      <w:r>
        <w:rPr/>
        <w:t xml:space="preserve">(2) The training established in this section must be:</w:t>
      </w:r>
    </w:p>
    <w:p>
      <w:pPr>
        <w:spacing w:before="0" w:after="0" w:line="408" w:lineRule="exact"/>
        <w:ind w:left="0" w:right="0" w:firstLine="576"/>
        <w:jc w:val="left"/>
      </w:pPr>
      <w:r>
        <w:rPr/>
        <w:t xml:space="preserve">(a) Informed by the information developed under section 109 of this act; and</w:t>
      </w:r>
    </w:p>
    <w:p>
      <w:pPr>
        <w:spacing w:before="0" w:after="0" w:line="408" w:lineRule="exact"/>
        <w:ind w:left="0" w:right="0" w:firstLine="576"/>
        <w:jc w:val="left"/>
      </w:pPr>
      <w:r>
        <w:rPr/>
        <w:t xml:space="preserve">(b) Developed for and made available to judicial officers and system partners in the dependency court system.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 Unused slots under this section may be used for children who are screened in due to a parent's substance use disorder when the substance use disorder is related to a substance other than a high-potency synthetic opioid.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and families who do not have natural supports to aid in safety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make available to department staff high-potency synthetic opioid testing strips that can detect the presence of high-potency synthetic opioids that may be provided to families for personal use or used by department staff to maintain their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f5124c9aea8543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629a2b0514e1a" /><Relationship Type="http://schemas.openxmlformats.org/officeDocument/2006/relationships/footer" Target="/word/footer1.xml" Id="Rf5124c9aea854337" /></Relationships>
</file>