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684e54ed146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6194</w:t>
      </w:r>
    </w:p>
    <w:p>
      <w:pPr>
        <w:jc w:val="center"/>
        <w:spacing w:before="480" w:after="0" w:line="240"/>
      </w:pPr>
      <w:r>
        <w:t xml:space="preserve">Chapter </w:t>
      </w:r>
      <w:r>
        <w:rPr/>
        <w:t xml:space="preserve">333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LEGISLATIVE EMPLOYEE COLLECTIVE BARGAINING—VARIOUS PROVISIONS</w:t>
      </w:r>
    </w:p>
    <w:p>
      <w:pPr>
        <w:spacing w:before="720" w:after="240" w:line="240" w:lineRule="exact"/>
        <w:ind w:left="0" w:right="0" w:firstLine="0"/>
        <w:jc w:val="center"/>
      </w:pPr>
      <w:r>
        <w:t xml:space="preserve">EFFECTIVE DATE: </w:t>
      </w:r>
      <w:r>
        <w:rPr/>
        <w:t xml:space="preserve">May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29</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6194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Stanford, Saldaña, Cleveland, Conway, Dhingra, Hasegawa, Hunt, Kuderer, Liias, Lovelett, Nobles, Randall, Trudeau, Valdez, Van De Wege,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41.58.010, 41.58.015, 42.52.020, and 42.52.160; adding new sections to chapter 44.90 RCW; adding a new section to chapter 41.58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2027. After December 31, 2027,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as part of the employee's job duties has authorized access to information that contributes to the development of, or relates to the effectuation or review of, the employer's collective bargaining policies, strategies, or process; or (c)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legislative employees as part of the employee's regular and usual job duties. Supervision includes directing employees, approving and denying leave, and participating in decisions to hire, transfer, suspend, lay off, recall, promote, discharge, direct, reward, or discipline employees, or to adjust employee grievances, when the exercise of the authority is not of a merely routine nature but requires the exercise of individual judgment, regardless of whether such duties are the employee's primary duties and regardless of whether the employee spends a preponderance of the employee's time exercising such duties. However, "supervisor" does not include a legislative assistant to a legislator of the senate or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w:t>
      </w:r>
    </w:p>
    <w:p>
      <w:pPr>
        <w:spacing w:before="0" w:after="0" w:line="408" w:lineRule="exact"/>
        <w:ind w:left="0" w:right="0" w:firstLine="576"/>
        <w:jc w:val="left"/>
      </w:pPr>
      <w:r>
        <w:rPr/>
        <w:t xml:space="preserve">(h) The counsels for the senate that provide direct legal advice to the administration of the senate; and</w:t>
      </w:r>
    </w:p>
    <w:p>
      <w:pPr>
        <w:spacing w:before="0" w:after="0" w:line="408" w:lineRule="exact"/>
        <w:ind w:left="0" w:right="0" w:firstLine="576"/>
        <w:jc w:val="left"/>
      </w:pPr>
      <w:r>
        <w:rPr/>
        <w:t xml:space="preserve">(i) Any employee who provides direct administrative support to the office of the secretary of the senate or chief clerk of the house of representatives, or who conducts accounting, payroll, labor management, collective bargaining, or human resources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(2)(e)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2027.</w:t>
      </w:r>
    </w:p>
    <w:p>
      <w:pPr>
        <w:spacing w:before="0" w:after="0" w:line="408" w:lineRule="exact"/>
        <w:ind w:left="0" w:right="0" w:firstLine="576"/>
        <w:jc w:val="left"/>
      </w:pPr>
      <w:r>
        <w:rPr/>
        <w:t xml:space="preserve">(b) After December 31, 2027,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2027,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under this chapter when the employee is assigned to negotiate or administer the collective bargaining agreement and the use of paid time and public resources does not include state 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af6aa5ca493246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a6ed69b6e46af" /><Relationship Type="http://schemas.openxmlformats.org/officeDocument/2006/relationships/footer" Target="/word/footer1.xml" Id="Raf6aa5ca49324666" /></Relationships>
</file>