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3d15201d042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6227</w:t>
      </w:r>
    </w:p>
    <w:p>
      <w:pPr>
        <w:jc w:val="center"/>
        <w:spacing w:before="480" w:after="0" w:line="240"/>
      </w:pPr>
      <w:r>
        <w:t xml:space="preserve">Chapter </w:t>
      </w:r>
      <w:r>
        <w:rPr/>
        <w:t xml:space="preserve">137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NOT GUILTY BY REASON OF INSANITY—PROTECTION ORDERS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92</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6227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Dhingra, Cleveland, Hasegawa, Keiser, Nobles, Randall, Torres,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entry of a civil protection order to protect victims when a person is found not guilty by reason of insanity; amending RCW 10.77.110 and 7.105.450; and adding a new section to chapter 10.77 RCW.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t>((</w:t>
      </w:r>
      <w:r>
        <w:rPr>
          <w:strike/>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is developmentally disabled. When appropriate, and subject to available funds, the defendant may be committed to a program specifically reserved for the treatment and training of developmentally disabled persons.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developmentally disabled persons.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strike/>
        </w:rPr>
        <w:t xml:space="preserve">(3)</w:t>
      </w:r>
      <w:r>
        <w:t>))</w:t>
      </w:r>
      <w:r>
        <w:rPr/>
        <w:t xml:space="preserve">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w:t>
      </w:r>
    </w:p>
    <w:p>
      <w:pPr>
        <w:spacing w:before="0" w:after="0" w:line="408" w:lineRule="exact"/>
        <w:ind w:left="0" w:right="0" w:firstLine="576"/>
        <w:jc w:val="left"/>
      </w:pPr>
      <w:r>
        <w:rPr>
          <w:u w:val="single"/>
        </w:rPr>
        <w:t xml:space="preserve">(2)(a) Upon placement of the defendant under control by the court or other persons and institutions or placement of the defendant on conditional release, or upon application by the prosecuting attorney at any subsequent time during which the court retains supervision of the defendant, the court may enter a separate no-contact order to protect any victim of the defendant's conduct in addition to the defendant's order of commitment. The maximum term of the no-contact order shall be the defendant's maximum term of commitment, or until the defendant's release under RCW 10.77.200, whichever comes sooner. The clerk's office shall provide a written certified copy of the no-contact order to the victim.</w:t>
      </w:r>
    </w:p>
    <w:p>
      <w:pPr>
        <w:spacing w:before="0" w:after="0" w:line="408" w:lineRule="exact"/>
        <w:ind w:left="0" w:right="0" w:firstLine="576"/>
        <w:jc w:val="left"/>
      </w:pPr>
      <w:r>
        <w:rPr>
          <w:u w:val="single"/>
        </w:rPr>
        <w:t xml:space="preserve">(b) The no-contact order shall contain the court's directives and shall state that a violation of the order is a criminal offense under chapter 7.105 RCW and will subject the person who violates the order to arrest, and that any assault, drive-by shooting, or reckless endangerment that is a violation of the order is a felony.</w:t>
      </w:r>
    </w:p>
    <w:p>
      <w:pPr>
        <w:spacing w:before="0" w:after="0" w:line="408" w:lineRule="exact"/>
        <w:ind w:left="0" w:right="0" w:firstLine="576"/>
        <w:jc w:val="left"/>
      </w:pPr>
      <w:r>
        <w:rPr>
          <w:u w:val="single"/>
        </w:rPr>
        <w:t xml:space="preserve">(c) Any willful violation of a no-contact order issued under this section is punishable under RCW 7.105.450.</w:t>
      </w:r>
    </w:p>
    <w:p>
      <w:pPr>
        <w:spacing w:before="0" w:after="0" w:line="408" w:lineRule="exact"/>
        <w:ind w:left="0" w:right="0" w:firstLine="576"/>
        <w:jc w:val="left"/>
      </w:pPr>
      <w:r>
        <w:rPr>
          <w:u w:val="single"/>
        </w:rPr>
        <w:t xml:space="preserve">(d) For the purpose of this subsection, "victim" has the same meaning as in RCW 9.94A.030.</w:t>
      </w:r>
    </w:p>
    <w:p>
      <w:pPr>
        <w:spacing w:before="0" w:after="0" w:line="408" w:lineRule="exact"/>
        <w:ind w:left="0" w:right="0" w:firstLine="576"/>
        <w:jc w:val="left"/>
      </w:pPr>
      <w:r>
        <w:rPr>
          <w:u w:val="single"/>
        </w:rPr>
        <w:t xml:space="preserve">(3) Whenever an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w:t>
      </w:r>
      <w:r>
        <w:rPr>
          <w:u w:val="single"/>
        </w:rPr>
        <w:t xml:space="preserve">10.77,</w:t>
      </w:r>
      <w:r>
        <w:rPr/>
        <w:t xml:space="preserve">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w:t>
      </w:r>
      <w:r>
        <w:rPr>
          <w:u w:val="single"/>
        </w:rPr>
        <w:t xml:space="preserve">10.77,</w:t>
      </w:r>
      <w:r>
        <w:rPr/>
        <w:t xml:space="preserve">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has a developmental disability. When appropriate, and subject to available funds, the defendant may be committed to a program specifically reserved for the treatment and training of persons with developmental disabilities.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2dce869a1a1644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a263560ca4a67" /><Relationship Type="http://schemas.openxmlformats.org/officeDocument/2006/relationships/footer" Target="/word/footer1.xml" Id="R2dce869a1a164455" /></Relationships>
</file>