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34fd5236d46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6308</w:t>
      </w:r>
    </w:p>
    <w:p>
      <w:pPr>
        <w:jc w:val="center"/>
        <w:spacing w:before="480" w:after="0" w:line="240"/>
      </w:pPr>
      <w:r>
        <w:t xml:space="preserve">Chapter </w:t>
      </w:r>
      <w:r>
        <w:rPr/>
        <w:t xml:space="preserve">364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988 SYSTEM—IMPLEMENTATION TIMELINES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6308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Dhingra, Robinson, Kuderer, Nobles, and Trudeau</w:t>
      </w:r>
    </w:p>
    <w:p/>
    <w:p>
      <w:r>
        <w:rPr>
          <w:t xml:space="preserve">Read first time 01/29/24.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timelines for implementation of the 988 system; amending RCW 71.24.892; reenacting and amending RCW 71.24.890;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w:t>
      </w:r>
      <w:r>
        <w:rPr>
          <w:u w:val="single"/>
        </w:rPr>
        <w:t xml:space="preserve">implemented as soon as possible and</w:t>
      </w:r>
      <w:r>
        <w:rPr/>
        <w:t xml:space="preserve"> fully funded by </w:t>
      </w:r>
      <w:r>
        <w:t>((</w:t>
      </w:r>
      <w:r>
        <w:rPr>
          <w:strike/>
        </w:rPr>
        <w:t xml:space="preserve">July 1, 2024</w:t>
      </w:r>
      <w:r>
        <w:t>))</w:t>
      </w:r>
      <w:r>
        <w:rPr/>
        <w:t xml:space="preserve"> </w:t>
      </w:r>
      <w:r>
        <w:rPr>
          <w:u w:val="single"/>
        </w:rPr>
        <w:t xml:space="preserve">January 1, 2026</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2023 c 454 s 6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Through January 1, 2025, the</w:t>
      </w:r>
      <w:r>
        <w:rPr/>
        <w:t xml:space="preserve"> behavioral health institute at Harborview medical center shall facilitate and provide staff support to the steering committee and to the crisis response improvement strategy committee. The behavioral health institute may contract for the provision of these services.</w:t>
      </w:r>
    </w:p>
    <w:p>
      <w:pPr>
        <w:spacing w:before="0" w:after="0" w:line="408" w:lineRule="exact"/>
        <w:ind w:left="0" w:right="0" w:firstLine="576"/>
        <w:jc w:val="left"/>
      </w:pPr>
      <w:r>
        <w:rPr>
          <w:u w:val="single"/>
        </w:rPr>
        <w:t xml:space="preserve">(b) Beginning January 2, 2025, the authority shall facilitate and provide staff support to the steering committee and to the crisis response improvement strategy committee. The authority may contract for the provision of these services.</w:t>
      </w:r>
    </w:p>
    <w:p>
      <w:pPr>
        <w:spacing w:before="0" w:after="0" w:line="408" w:lineRule="exact"/>
        <w:ind w:left="0" w:right="0" w:firstLine="576"/>
        <w:jc w:val="left"/>
      </w:pPr>
      <w:r>
        <w:rPr/>
        <w:t xml:space="preserve">(3) The steering committee shall consist of the five members specified as serving on the steering committee in this subsection and one additional member who has been appointed to serve pursuant to the criteria in either (j), (k), (l), or (m) of this subsection.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designated 988 contact hubs; mobile rapid response crisis teams and community-based crisis teams endorsed under RCW 71.24.903;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that designated 988 contact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designated 988 contact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mobile rapid response crisis teams and community-based crisis teams endorsed under RCW 71.24.903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designated 988 contact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and community-based crisis teams endorsed under RCW 71.24.903,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w:t>
      </w:r>
    </w:p>
    <w:p>
      <w:pPr>
        <w:spacing w:before="0" w:after="0" w:line="408" w:lineRule="exact"/>
        <w:ind w:left="0" w:right="0" w:firstLine="576"/>
        <w:jc w:val="left"/>
      </w:pPr>
      <w:r>
        <w:rPr/>
        <w:t xml:space="preserve">(f) 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t xml:space="preserve">(g)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designated 988 contact hubs to the governor and appropriate policy and fiscal committees of the legislature by January 1, 2023, and January 1, 2024. The steering committee shall provide its final report to the governor and the appropriate policy and fiscal committees of the legislature by January 1, 2025.</w:t>
      </w:r>
    </w:p>
    <w:p>
      <w:pPr>
        <w:spacing w:before="0" w:after="0" w:line="408" w:lineRule="exact"/>
        <w:ind w:left="0" w:right="0" w:firstLine="576"/>
        <w:jc w:val="left"/>
      </w:pPr>
      <w:r>
        <w:rPr/>
        <w:t xml:space="preserve">(12) This section expires </w:t>
      </w:r>
      <w:r>
        <w:t>((</w:t>
      </w:r>
      <w:r>
        <w:rPr>
          <w:strike/>
        </w:rPr>
        <w:t xml:space="preserve">June 30, 2025</w:t>
      </w:r>
      <w:r>
        <w:t>))</w:t>
      </w:r>
      <w:r>
        <w:rPr/>
        <w:t xml:space="preserve"> </w:t>
      </w:r>
      <w:r>
        <w:rPr>
          <w:u w:val="single"/>
        </w:rPr>
        <w:t xml:space="preserve">December 31, 2026</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ed0e897f9fc542f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02c00c359491f" /><Relationship Type="http://schemas.openxmlformats.org/officeDocument/2006/relationships/footer" Target="/word/footer1.xml" Id="Red0e897f9fc542f8" /></Relationships>
</file>