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2c66c183d141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2111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76</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2111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tc>
      </w:tr>
      <w:tr>
        <w:tc>
          <w:tcPr>
            <w:tcW w:w="5040" w:type="dxa"/>
            <w:vAlign w:val="bottom"/>
            <w:tcMar>
              <w:left w:w="120"/>
            </w:tcMar>
            <w:tcMar>
              <w:right w:w="120"/>
            </w:tcMar>
            <w:tcMar>
              <w:top w:w="40"/>
            </w:tcMar>
            <w:tcMar>
              <w:bottom w:w="40"/>
            </w:tcMar>
          </w:tcPr>
          <w:p>
            <w:pPr>
              <w:jc w:val="center"/>
            </w:pPr>
            <w:r>
              <w:rPr>
                <w:t xml:space="preserve">FILED</w:t>
              </w:rPr>
            </w:r>
          </w:p>
          <w:p>
            <w:pPr>
              <w:jc w:val="center"/>
            </w:pP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INITIATIVE 2111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2111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that neither the state nor any of its political subdivisions may charge any individual person a tax based on personal income; and adding a new chapter to Title 1 RCW.</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Neither the state nor any county, city, or other local jurisdiction in the state of Washington may tax any individual person on any form of personal income. For the purposes of this chapter, "income" has the same meaning as "gross income" in 26 U.S.C. Sec. 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w:t>
      </w:r>
      <w:r>
        <w:rPr/>
        <w:t xml:space="preserve"> RCW</w:t>
      </w:r>
      <w:r>
        <w:rPr/>
        <w:t xml:space="preserve">.</w:t>
      </w:r>
    </w:p>
    <w:p/>
    <w:p>
      <w:pPr>
        <w:jc w:val="center"/>
      </w:pPr>
      <w:r>
        <w:rPr>
          <w:b/>
        </w:rPr>
        <w:t>--- END ---</w:t>
      </w:r>
    </w:p>
    <w:sectPr>
      <w:pgNumType w:start="1"/>
      <w:footerReference xmlns:r="http://schemas.openxmlformats.org/officeDocument/2006/relationships" r:id="R897b7272adab44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2111.PL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0fa0fcde94b93" /><Relationship Type="http://schemas.openxmlformats.org/officeDocument/2006/relationships/footer" Target="/word/footer1.xml" Id="R897b7272adab446b" /></Relationships>
</file>