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28f016b65e43aa" /></Relationships>
</file>

<file path=word/document.xml><?xml version="1.0" encoding="utf-8"?>
<w:document xmlns:w="http://schemas.openxmlformats.org/wordprocessingml/2006/main">
  <w:body>
    <w:p>
      <w:r>
        <w:t>Z-0111.1</w:t>
      </w:r>
    </w:p>
    <w:p>
      <w:pPr>
        <w:jc w:val="center"/>
      </w:pPr>
      <w:r>
        <w:t>_______________________________________________</w:t>
      </w:r>
    </w:p>
    <w:p/>
    <w:p>
      <w:pPr>
        <w:jc w:val="center"/>
      </w:pPr>
      <w:r>
        <w:rPr>
          <w:b/>
        </w:rPr>
        <w:t>HOUSE BILL 1012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Taylor, Mena, Ryu, and Reed; by request of Women's Commission</w:t>
      </w:r>
    </w:p>
    <w:p/>
    <w:p>
      <w:r>
        <w:rPr>
          <w:t xml:space="preserve">Prefiled 12/05/24.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expressly authorizing the women's commission to solicit gifts, grants, and endowments from public or private sources; and amending RCW 43.119.050.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119</w:t>
      </w:r>
      <w:r>
        <w:rPr/>
        <w:t xml:space="preserve">.</w:t>
      </w:r>
      <w:r>
        <w:t xml:space="preserve">050</w:t>
      </w:r>
      <w:r>
        <w:rPr/>
        <w:t xml:space="preserve"> and 2018 c 98 s 6 are each amended to read as follows:</w:t>
      </w:r>
    </w:p>
    <w:p>
      <w:pPr>
        <w:spacing w:before="0" w:after="0" w:line="408" w:lineRule="exact"/>
        <w:ind w:left="0" w:right="0" w:firstLine="576"/>
        <w:jc w:val="left"/>
      </w:pPr>
      <w:r>
        <w:rPr/>
        <w:t xml:space="preserve">The Washington state women's commission shall have the following powers:</w:t>
      </w:r>
    </w:p>
    <w:p>
      <w:pPr>
        <w:spacing w:before="0" w:after="0" w:line="408" w:lineRule="exact"/>
        <w:ind w:left="0" w:right="0" w:firstLine="576"/>
        <w:jc w:val="left"/>
      </w:pPr>
      <w:r>
        <w:rPr/>
        <w:t xml:space="preserve">(1) </w:t>
      </w:r>
      <w:r>
        <w:t>((</w:t>
      </w:r>
      <w:r>
        <w:rPr>
          <w:strike/>
        </w:rPr>
        <w:t xml:space="preserve">Receive</w:t>
      </w:r>
      <w:r>
        <w:t>))</w:t>
      </w:r>
      <w:r>
        <w:rPr/>
        <w:t xml:space="preserve"> </w:t>
      </w:r>
      <w:r>
        <w:rPr>
          <w:u w:val="single"/>
        </w:rPr>
        <w:t xml:space="preserve">Solicit and receive</w:t>
      </w:r>
      <w:r>
        <w:rPr/>
        <w:t xml:space="preserve"> gifts, grants, and endowments from public or private sources that are made for the use or benefit of the commission and to expend the same or any income therefrom according to their terms and the purpose of this chapter. The commission's executive director shall make a report of such funds received from private sources to the office of financial management on a regular basis. Such funds received from private sources shall not be applied to reduce or substitute for the commission's budget as appropriated by the legislature, but shall be applied and expended toward projects and functions authorized by this chapter that were not funded by the legislature.</w:t>
      </w:r>
    </w:p>
    <w:p>
      <w:pPr>
        <w:spacing w:before="0" w:after="0" w:line="408" w:lineRule="exact"/>
        <w:ind w:left="0" w:right="0" w:firstLine="576"/>
        <w:jc w:val="left"/>
      </w:pPr>
      <w:r>
        <w:rPr/>
        <w:t xml:space="preserve">(2) In carrying out its duties, the commission may establish such relationships with public and private institutions, local governments, private industry, community organizations, and other segments of the general public as may be needed to promote equal opportunity for women in government, education, economic security, employment, and services.</w:t>
      </w:r>
    </w:p>
    <w:p>
      <w:pPr>
        <w:spacing w:before="0" w:after="0" w:line="408" w:lineRule="exact"/>
        <w:ind w:left="0" w:right="0" w:firstLine="576"/>
        <w:jc w:val="left"/>
      </w:pPr>
      <w:r>
        <w:rPr/>
        <w:t xml:space="preserve">(3) The commission may adopt rules and regulations pursuant to chapter 34.05 RCW as shall be necessary to implement the purpose of this chapter.</w:t>
      </w:r>
    </w:p>
    <w:p/>
    <w:p>
      <w:pPr>
        <w:jc w:val="center"/>
      </w:pPr>
      <w:r>
        <w:rPr>
          <w:b/>
        </w:rPr>
        <w:t>--- END ---</w:t>
      </w:r>
    </w:p>
    <w:sectPr>
      <w:pgNumType w:start="1"/>
      <w:footerReference xmlns:r="http://schemas.openxmlformats.org/officeDocument/2006/relationships" r:id="R727627d55a1b40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0b386847564a2a" /><Relationship Type="http://schemas.openxmlformats.org/officeDocument/2006/relationships/footer" Target="/word/footer1.xml" Id="R727627d55a1b4089" /></Relationships>
</file>