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b4c0a2fc4f4d06" /></Relationships>
</file>

<file path=word/document.xml><?xml version="1.0" encoding="utf-8"?>
<w:document xmlns:w="http://schemas.openxmlformats.org/wordprocessingml/2006/main">
  <w:body>
    <w:p>
      <w:r>
        <w:t>H-0226.1</w:t>
      </w:r>
    </w:p>
    <w:p>
      <w:pPr>
        <w:jc w:val="center"/>
      </w:pPr>
      <w:r>
        <w:t>_______________________________________________</w:t>
      </w:r>
    </w:p>
    <w:p/>
    <w:p>
      <w:pPr>
        <w:jc w:val="center"/>
      </w:pPr>
      <w:r>
        <w:rPr>
          <w:b/>
        </w:rPr>
        <w:t>HOUSE BILL 1040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Doglio, Parshley, Ryu, Ramel, Klicker, Richards, Reed, Alvarado, Shavers, Peterson, Paul, Wylie, Fey, Kloba, Lekanoff, Fosse, and Reeves</w:t>
      </w:r>
    </w:p>
    <w:p/>
    <w:p>
      <w:r>
        <w:rPr>
          <w:t xml:space="preserve">Prefiled 12/11/24.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income received by people eligible for certain property tax exemption programs;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2024 c 119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"Accessory dwelling unit" means a separate, autonomous residential dwelling unit that provides complete independent living facilities for one or more persons and includes permanent provisions for living, sleeping, eating, cooking, and sanitation.</w:t>
      </w:r>
    </w:p>
    <w:p>
      <w:pPr>
        <w:spacing w:before="0" w:after="0" w:line="408" w:lineRule="exact"/>
        <w:ind w:left="0" w:right="0" w:firstLine="576"/>
        <w:jc w:val="left"/>
      </w:pPr>
      <w:r>
        <w:rPr/>
        <w:t xml:space="preserve">(2) "Combined disposable income" means the disposable income of the person claiming the exemption, plus the disposable income of his or her spouse or domestic partner, and the disposable income of each cotenant occupying the residence for the assessment year, less amounts paid </w:t>
      </w:r>
      <w:r>
        <w:rPr>
          <w:u w:val="single"/>
        </w:rPr>
        <w:t xml:space="preserve">or, for purposes of (n) of this subsection (2), received</w:t>
      </w:r>
      <w:r>
        <w:rPr/>
        <w:t xml:space="preserve">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w:t>
      </w:r>
      <w:r>
        <w:t>((</w:t>
      </w:r>
      <w:r>
        <w:rPr>
          <w:strike/>
        </w:rPr>
        <w:t xml:space="preserve">and</w:t>
      </w:r>
      <w:r>
        <w:t>))</w:t>
      </w:r>
    </w:p>
    <w:p>
      <w:pPr>
        <w:spacing w:before="0" w:after="0" w:line="408" w:lineRule="exact"/>
        <w:ind w:left="0" w:right="0" w:firstLine="576"/>
        <w:jc w:val="left"/>
      </w:pPr>
      <w:r>
        <w:rPr/>
        <w:t xml:space="preserve">(m) Disposable devices used to deliver drugs for human use as defined in RCW 82.08.935</w:t>
      </w:r>
      <w:r>
        <w:rPr>
          <w:u w:val="single"/>
        </w:rPr>
        <w:t xml:space="preserve">; and</w:t>
      </w:r>
    </w:p>
    <w:p>
      <w:pPr>
        <w:spacing w:before="0" w:after="0" w:line="408" w:lineRule="exact"/>
        <w:ind w:left="0" w:right="0" w:firstLine="576"/>
        <w:jc w:val="left"/>
      </w:pPr>
      <w:r>
        <w:rPr>
          <w:u w:val="single"/>
        </w:rPr>
        <w:t xml:space="preserve">(n) Rental amounts up to $6,000 per year received from the renting of living space in the person's principal place of residence.</w:t>
      </w:r>
    </w:p>
    <w:p>
      <w:pPr>
        <w:spacing w:before="0" w:after="0" w:line="408" w:lineRule="exact"/>
        <w:ind w:left="0" w:right="0" w:firstLine="576"/>
        <w:jc w:val="left"/>
      </w:pPr>
      <w:r>
        <w:rPr>
          <w:u w:val="single"/>
        </w:rPr>
        <w:t xml:space="preserve">(i) For the purposes of this subsection (2)(n), "rental amount" has the same meaning as in RCW 59.18.030.</w:t>
      </w:r>
    </w:p>
    <w:p>
      <w:pPr>
        <w:spacing w:before="0" w:after="0" w:line="408" w:lineRule="exact"/>
        <w:ind w:left="0" w:right="0" w:firstLine="576"/>
        <w:jc w:val="left"/>
      </w:pPr>
      <w:r>
        <w:rPr>
          <w:u w:val="single"/>
        </w:rPr>
        <w:t xml:space="preserve">(ii) For the purposes of this subsection (2)(n), amounts received from short-term rentals, as defined in RCW 64.37.010, are not included. Any amounts received from a short-term rental must be reported as income</w:t>
      </w:r>
      <w:r>
        <w:rPr/>
        <w:t xml:space="preserve">.</w:t>
      </w:r>
    </w:p>
    <w:p>
      <w:pPr>
        <w:spacing w:before="0" w:after="0" w:line="408" w:lineRule="exact"/>
        <w:ind w:left="0" w:right="0" w:firstLine="576"/>
        <w:jc w:val="left"/>
      </w:pPr>
      <w:r>
        <w:rPr/>
        <w:t xml:space="preserve">(3) "Cotenant" means a person who resides with the person claiming the exemption and who has an ownership interest in the residence.</w:t>
      </w:r>
    </w:p>
    <w:p>
      <w:pPr>
        <w:spacing w:before="0" w:after="0" w:line="408" w:lineRule="exact"/>
        <w:ind w:left="0" w:right="0" w:firstLine="576"/>
        <w:jc w:val="left"/>
      </w:pPr>
      <w:r>
        <w:rPr/>
        <w:t xml:space="preserve">(4)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(5) "Department" means the state department of revenue.</w:t>
      </w:r>
    </w:p>
    <w:p>
      <w:pPr>
        <w:spacing w:before="0" w:after="0" w:line="408" w:lineRule="exact"/>
        <w:ind w:left="0" w:right="0" w:firstLine="576"/>
        <w:jc w:val="left"/>
      </w:pPr>
      <w:r>
        <w:rPr/>
        <w:t xml:space="preserve">(6)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(7)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(8) "Income threshold 1" means:</w:t>
      </w:r>
    </w:p>
    <w:p>
      <w:pPr>
        <w:spacing w:before="0" w:after="0" w:line="408" w:lineRule="exact"/>
        <w:ind w:left="0" w:right="0" w:firstLine="576"/>
        <w:jc w:val="left"/>
      </w:pPr>
      <w:r>
        <w:rPr/>
        <w:t xml:space="preserve">(a) For taxes levied for collection in calendar years prior to 2020, a combined disposable income equal to $30,000;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1" for the previous year or 45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p>
    <w:p>
      <w:pPr>
        <w:spacing w:before="0" w:after="0" w:line="408" w:lineRule="exact"/>
        <w:ind w:left="0" w:right="0" w:firstLine="576"/>
        <w:jc w:val="left"/>
      </w:pPr>
      <w:r>
        <w:rPr/>
        <w:t xml:space="preserve">(9) "Income threshold 2" means:</w:t>
      </w:r>
    </w:p>
    <w:p>
      <w:pPr>
        <w:spacing w:before="0" w:after="0" w:line="408" w:lineRule="exact"/>
        <w:ind w:left="0" w:right="0" w:firstLine="576"/>
        <w:jc w:val="left"/>
      </w:pPr>
      <w:r>
        <w:rPr/>
        <w:t xml:space="preserve">(a) For taxes levied for collection in calendar years prior to 2020, a combined disposable income equal to $35,000;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2" for the previous year or 55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p>
    <w:p>
      <w:pPr>
        <w:spacing w:before="0" w:after="0" w:line="408" w:lineRule="exact"/>
        <w:ind w:left="0" w:right="0" w:firstLine="576"/>
        <w:jc w:val="left"/>
      </w:pPr>
      <w:r>
        <w:rPr/>
        <w:t xml:space="preserve">(10) "Income threshold 3" means:</w:t>
      </w:r>
    </w:p>
    <w:p>
      <w:pPr>
        <w:spacing w:before="0" w:after="0" w:line="408" w:lineRule="exact"/>
        <w:ind w:left="0" w:right="0" w:firstLine="576"/>
        <w:jc w:val="left"/>
      </w:pPr>
      <w:r>
        <w:rPr/>
        <w:t xml:space="preserve">(a) For taxes levied for collection in calendar years prior to 2020, a combined disposable income equal to $40,000;</w:t>
      </w:r>
    </w:p>
    <w:p>
      <w:pPr>
        <w:spacing w:before="0" w:after="0" w:line="408" w:lineRule="exact"/>
        <w:ind w:left="0" w:right="0" w:firstLine="576"/>
        <w:jc w:val="left"/>
      </w:pPr>
      <w:r>
        <w:rPr/>
        <w:t xml:space="preserve">(b) For taxes levied for collection in calendar years 2020 through 2023, a combined disposable income equal to the greater of "income threshold 3" for the previous year or 65 percent of the county median household income; and</w:t>
      </w:r>
    </w:p>
    <w:p>
      <w:pPr>
        <w:spacing w:before="0" w:after="0" w:line="408" w:lineRule="exact"/>
        <w:ind w:left="0" w:right="0" w:firstLine="576"/>
        <w:jc w:val="left"/>
      </w:pPr>
      <w:r>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p>
    <w:p>
      <w:pPr>
        <w:spacing w:before="0" w:after="0" w:line="408" w:lineRule="exact"/>
        <w:ind w:left="0" w:right="0" w:firstLine="576"/>
        <w:jc w:val="left"/>
      </w:pPr>
      <w:r>
        <w:rPr/>
        <w:t xml:space="preserve">(11)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(13) The term "residence" means a single-family dwelling unit whether such unit be separate or part of a multiunit dwelling, may include one accessory dwelling unit and includes the land on which such dwellings stand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 The legislature intends for this tax preference and its expansion to be permanent.</w:t>
      </w:r>
    </w:p>
    <w:p/>
    <w:p>
      <w:pPr>
        <w:jc w:val="center"/>
      </w:pPr>
      <w:r>
        <w:rPr>
          <w:b/>
        </w:rPr>
        <w:t>--- END ---</w:t>
      </w:r>
    </w:p>
    <w:sectPr>
      <w:pgNumType w:start="1"/>
      <w:footerReference xmlns:r="http://schemas.openxmlformats.org/officeDocument/2006/relationships" r:id="R6fee1e8c35bc4e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ae6dfd81ef40a8" /><Relationship Type="http://schemas.openxmlformats.org/officeDocument/2006/relationships/footer" Target="/word/footer1.xml" Id="R6fee1e8c35bc4efd" /></Relationships>
</file>