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e2fbfd4694443" /></Relationships>
</file>

<file path=word/document.xml><?xml version="1.0" encoding="utf-8"?>
<w:document xmlns:w="http://schemas.openxmlformats.org/wordprocessingml/2006/main">
  <w:body>
    <w:p>
      <w:r>
        <w:t>H-0276.2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1073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Representatives Leavitt, Abbarno, and Ryu</w:t>
      </w:r>
    </w:p>
    <w:p/>
    <w:p>
      <w:r>
        <w:rPr>
          <w:t xml:space="preserve">Prefiled 12/16/24.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keeping our Washington national guard strong act; and adding a new section to chapter 38.24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38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Subject to the availability of amounts appropriated for this specific purpose, there is created the Washington national guard retention program.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adjutant general shall establish the program to study retention needs, including length of service and critical skills retention. The adjutant general may consider the reenlistment term, conversion to a shortage specialty, and other retention factors to determine the amount of any reenlistment bonus that will encourage members of the Washington national guard to extend their terms of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adjutant general shall determine eligibility criteria for the retention program. The criteria must be specified in policy and changes must be published.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adjutant general shall determine the amount of any reenlistment bonus and the schedule to make bonus payments.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state military department must report to the governor and the legislature on retention needs and recommendations at least once every three years, beginning November 1, 2027.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1dbcc586ae04268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1073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96f3d94fa419d" /><Relationship Type="http://schemas.openxmlformats.org/officeDocument/2006/relationships/footer" Target="/word/footer1.xml" Id="Ra1dbcc586ae04268" /></Relationships>
</file>