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cb26a1fb2748d6" /></Relationships>
</file>

<file path=word/document.xml><?xml version="1.0" encoding="utf-8"?>
<w:document xmlns:w="http://schemas.openxmlformats.org/wordprocessingml/2006/main">
  <w:body>
    <w:p>
      <w:r>
        <w:t>H-0104.3</w:t>
      </w:r>
    </w:p>
    <w:p>
      <w:pPr>
        <w:jc w:val="center"/>
      </w:pPr>
      <w:r>
        <w:t>_______________________________________________</w:t>
      </w:r>
    </w:p>
    <w:p/>
    <w:p>
      <w:pPr>
        <w:jc w:val="center"/>
      </w:pPr>
      <w:r>
        <w:rPr>
          <w:b/>
        </w:rPr>
        <w:t>HOUSE BILL 1106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Barnard and Leavitt</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tremendous sacrifices made by our military veterans by phasing down the disability rating requirements to ensure more disabled veterans are eligible for property tax relief; amending RCW 84.36.381;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2023 c 147 s 1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(1)(a)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adult family home, or home of a relative for the purpose of long-term care does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a spouse or a domestic partner and/or a person financially dependent on the claimant for support; or</w:t>
      </w:r>
    </w:p>
    <w:p>
      <w:pPr>
        <w:spacing w:before="0" w:after="0" w:line="408" w:lineRule="exact"/>
        <w:ind w:left="0" w:right="0" w:firstLine="576"/>
        <w:jc w:val="left"/>
      </w:pPr>
      <w:r>
        <w:rPr/>
        <w:t xml:space="preserve">(iii) The residence is rented for the purpose of paying nursing home, hospital, assisted living facility, or adult family home costs.</w:t>
      </w:r>
    </w:p>
    <w:p>
      <w:pPr>
        <w:spacing w:before="0" w:after="0" w:line="408" w:lineRule="exact"/>
        <w:ind w:left="0" w:right="0" w:firstLine="576"/>
        <w:jc w:val="left"/>
      </w:pPr>
      <w:r>
        <w:rPr/>
        <w:t xml:space="preserve">(b) For the purpose of this subsection (1), "relative" means any individual related to the claimant by blood, marriage, or adoption;</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w:t>
      </w:r>
      <w:r>
        <w:rPr>
          <w:u w:val="single"/>
        </w:rPr>
        <w:t xml:space="preserve">(A)</w:t>
      </w:r>
      <w:r>
        <w:rPr/>
        <w:t xml:space="preserve"> A veteran of the armed forces of the United States entitled to and receiving compensation from the United States department of veterans affairs 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combined service-connected evaluation rating of 80 percent or higher;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total disability rating for a service-connected disability without regard to evaluation percent.</w:t>
      </w:r>
    </w:p>
    <w:p>
      <w:pPr>
        <w:spacing w:before="0" w:after="0" w:line="408" w:lineRule="exact"/>
        <w:ind w:left="0" w:right="0" w:firstLine="576"/>
        <w:jc w:val="left"/>
      </w:pPr>
      <w:r>
        <w:rPr>
          <w:u w:val="single"/>
        </w:rPr>
        <w:t xml:space="preserve">(B)(I) Beginning January 1, 2026, until December 31, 2026, the combined service-connected evaluation rating in (a)(ii)(A)(I) of this subsection is 60 percent or higher;</w:t>
      </w:r>
    </w:p>
    <w:p>
      <w:pPr>
        <w:spacing w:before="0" w:after="0" w:line="408" w:lineRule="exact"/>
        <w:ind w:left="0" w:right="0" w:firstLine="576"/>
        <w:jc w:val="left"/>
      </w:pPr>
      <w:r>
        <w:rPr>
          <w:u w:val="single"/>
        </w:rPr>
        <w:t xml:space="preserve">(II) Beginning January 1, 2027, until December 31, 2027, the combined service-connected evaluation rating in (a)(ii)(A)(I) of this subsection is 40 percent or higher;</w:t>
      </w:r>
    </w:p>
    <w:p>
      <w:pPr>
        <w:spacing w:before="0" w:after="0" w:line="408" w:lineRule="exact"/>
        <w:ind w:left="0" w:right="0" w:firstLine="576"/>
        <w:jc w:val="left"/>
      </w:pPr>
      <w:r>
        <w:rPr>
          <w:u w:val="single"/>
        </w:rPr>
        <w:t xml:space="preserve">(III) Beginning January 1, 2028, the combined service-connected evaluation rating in (a)(ii)(A)(I) of this subsection is 20 percent or higher.</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57 years of age or older and otherwise meets the requirements of this section;</w:t>
      </w:r>
    </w:p>
    <w:p>
      <w:pPr>
        <w:spacing w:before="0" w:after="0" w:line="408" w:lineRule="exact"/>
        <w:ind w:left="0" w:right="0" w:firstLine="576"/>
        <w:jc w:val="left"/>
      </w:pPr>
      <w:r>
        <w:rPr/>
        <w:t xml:space="preserve">(4)(a) The amount that the person is exempt from an obligation to pay is calculated on the basis of combined disposable income, as defined in RCW 84.36.383.</w:t>
      </w:r>
    </w:p>
    <w:p>
      <w:pPr>
        <w:spacing w:before="0" w:after="0" w:line="408" w:lineRule="exact"/>
        <w:ind w:left="0" w:right="0" w:firstLine="576"/>
        <w:jc w:val="left"/>
      </w:pPr>
      <w:r>
        <w:rPr/>
        <w:t xml:space="preserve">(b)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12.</w:t>
      </w:r>
    </w:p>
    <w:p>
      <w:pPr>
        <w:spacing w:before="0" w:after="0" w:line="408" w:lineRule="exact"/>
        <w:ind w:left="0" w:right="0" w:firstLine="576"/>
        <w:jc w:val="left"/>
      </w:pPr>
      <w:r>
        <w:rPr/>
        <w:t xml:space="preserve">(c)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12.</w:t>
      </w:r>
    </w:p>
    <w:p>
      <w:pPr>
        <w:spacing w:before="0" w:after="0" w:line="408" w:lineRule="exact"/>
        <w:ind w:left="0" w:right="0" w:firstLine="576"/>
        <w:jc w:val="left"/>
      </w:pPr>
      <w:r>
        <w:rPr/>
        <w:t xml:space="preserve">(d)(i) If the income of the person claiming the exemption increases as a result of a cost-of-living adjustment to social security benefits or supplemental security income in an amount that would disqualify the applicant from eligibility, the applicant is not disqualified but instead maintains eligibility.</w:t>
      </w:r>
    </w:p>
    <w:p>
      <w:pPr>
        <w:spacing w:before="0" w:after="0" w:line="408" w:lineRule="exact"/>
        <w:ind w:left="0" w:right="0" w:firstLine="576"/>
        <w:jc w:val="left"/>
      </w:pPr>
      <w:r>
        <w:rPr/>
        <w:t xml:space="preserve">(ii) The continued eligibility under this subsection applies to applications for property taxes levied for collection in calendar year 2024.</w:t>
      </w:r>
    </w:p>
    <w:p>
      <w:pPr>
        <w:spacing w:before="0" w:after="0" w:line="408" w:lineRule="exact"/>
        <w:ind w:left="0" w:right="0" w:firstLine="576"/>
        <w:jc w:val="left"/>
      </w:pPr>
      <w:r>
        <w:rPr/>
        <w:t xml:space="preserve">(e) If it is necessary to estimate income to comply with this subsection (4), the assessor may require confirming documentation of such income prior to May 31st of the year following application;</w:t>
      </w:r>
    </w:p>
    <w:p>
      <w:pPr>
        <w:spacing w:before="0" w:after="0" w:line="408" w:lineRule="exact"/>
        <w:ind w:left="0" w:right="0" w:firstLine="576"/>
        <w:jc w:val="left"/>
      </w:pPr>
      <w:r>
        <w:rPr/>
        <w:t xml:space="preserve">(5)(a) A person who otherwise qualifies under this section and has a combined disposable income equal to or less than income threshold 3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combined disposable income equal to or less than income threshold 2 but greater than income threshold 1 is exempt from all regular property taxes on the greater of $50,000 or 35 percent of the valuation of his or her residence, but not to exceed $70,000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equal to or less than income threshold 1 is exempt from all regular property taxes on the greater of $60,000 or 60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equal to or less than income threshold 3,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e62a7a360aed44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8fcf43cce04b22" /><Relationship Type="http://schemas.openxmlformats.org/officeDocument/2006/relationships/footer" Target="/word/footer1.xml" Id="Re62a7a360aed44ec" /></Relationships>
</file>