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4858baca964fa9" /></Relationships>
</file>

<file path=word/document.xml><?xml version="1.0" encoding="utf-8"?>
<w:document xmlns:w="http://schemas.openxmlformats.org/wordprocessingml/2006/main">
  <w:body>
    <w:p>
      <w:r>
        <w:t>S-0047.2</w:t>
      </w:r>
    </w:p>
    <w:p>
      <w:pPr>
        <w:jc w:val="center"/>
      </w:pPr>
      <w:r>
        <w:t>_______________________________________________</w:t>
      </w:r>
    </w:p>
    <w:p/>
    <w:p>
      <w:pPr>
        <w:jc w:val="center"/>
      </w:pPr>
      <w:r>
        <w:rPr>
          <w:b/>
        </w:rPr>
        <w:t>SENATE BILL 5107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underinsured motorist coverage for local government employees; amending RCW 48.62.031; adding a new section to chapter 4.92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Each local government shall provide underinsured coverage for motor vehicles owned by the local government and operated or occupied by an officer, employee, or agent of the local government in the course of their employment. The underinsured coverage must provide for the protection of an officer, employee, or agent of the local government who is legally entitled to recover damages from an owner or operator of an underinsured motor vehicle, hit-and-run motor vehicle, or phantom vehicle because of bodily injury, death, or personal property damage suffered by the officer, employee, or agent and resulting from an accident while the officer, employee, or agent was operating or was an occupant in a government-owned motor vehicle in the course of their employment. The underinsured coverage required by this section does not apply to third-party occupants of government-owned vehicles.</w:t>
      </w:r>
    </w:p>
    <w:p>
      <w:pPr>
        <w:spacing w:before="0" w:after="0" w:line="408" w:lineRule="exact"/>
        <w:ind w:left="0" w:right="0" w:firstLine="576"/>
        <w:jc w:val="left"/>
      </w:pPr>
      <w:r>
        <w:rPr/>
        <w:t xml:space="preserve">(2) The coverage required by this section must have limits of at least $25,000 per person and $50,000 per accident.</w:t>
      </w:r>
    </w:p>
    <w:p>
      <w:pPr>
        <w:spacing w:before="0" w:after="0" w:line="408" w:lineRule="exact"/>
        <w:ind w:left="0" w:right="0" w:firstLine="576"/>
        <w:jc w:val="left"/>
      </w:pPr>
      <w:r>
        <w:rPr/>
        <w:t xml:space="preserve">(3) The coverage required by this section may be provided by contracts or agreements with private carriers, through self-insurance and self-funding pursuant to chapter 48.62 RCW, or in any other manner authorized by law.</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"Local government" includes any city, county, or other subdivision of the state and any municipal corporation, quasi-municipal corporation, or special district within the state.</w:t>
      </w:r>
    </w:p>
    <w:p>
      <w:pPr>
        <w:spacing w:before="0" w:after="0" w:line="408" w:lineRule="exact"/>
        <w:ind w:left="0" w:right="0" w:firstLine="576"/>
        <w:jc w:val="left"/>
      </w:pPr>
      <w:r>
        <w:rPr/>
        <w:t xml:space="preserve">(b) "Phantom vehicle" has the same meaning as in RCW 48.22.030.</w:t>
      </w:r>
    </w:p>
    <w:p>
      <w:pPr>
        <w:spacing w:before="0" w:after="0" w:line="408" w:lineRule="exact"/>
        <w:ind w:left="0" w:right="0" w:firstLine="576"/>
        <w:jc w:val="left"/>
      </w:pPr>
      <w:r>
        <w:rPr/>
        <w:t xml:space="preserve">(c) "Third-party occupant" means a person who occupies a vehicle owned, leased, or rented by the local government and who is not an officer, employee, or agent of the local government.</w:t>
      </w:r>
    </w:p>
    <w:p>
      <w:pPr>
        <w:spacing w:before="0" w:after="0" w:line="408" w:lineRule="exact"/>
        <w:ind w:left="0" w:right="0" w:firstLine="576"/>
        <w:jc w:val="left"/>
      </w:pPr>
      <w:r>
        <w:rPr/>
        <w:t xml:space="preserve">(d) "Underinsured coverage" has the same meaning as in RCW 48.22.030.</w:t>
      </w:r>
    </w:p>
    <w:p>
      <w:pPr>
        <w:spacing w:before="0" w:after="0" w:line="408" w:lineRule="exact"/>
        <w:ind w:left="0" w:right="0" w:firstLine="576"/>
        <w:jc w:val="left"/>
      </w:pPr>
      <w:r>
        <w:rPr/>
        <w:t xml:space="preserve">(e) "Underinsured motor vehicle" has the same meaning as in RCW 48.22.030.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2019 c 26 s 3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including the board of pilotage commissioners, and may jointly purchase insurance or reinsurance with those other entities for property and liability risks, </w:t>
      </w:r>
      <w:r>
        <w:rPr>
          <w:u w:val="single"/>
        </w:rPr>
        <w:t xml:space="preserve">underinsured coverage under section 1 of this act,</w:t>
      </w:r>
      <w:r>
        <w:rPr/>
        <w:t xml:space="preserve">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self-insurance program formed and governed under this chapter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581f58180a1b45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db57e26804aa6" /><Relationship Type="http://schemas.openxmlformats.org/officeDocument/2006/relationships/footer" Target="/word/footer1.xml" Id="R581f58180a1b450e" /></Relationships>
</file>