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ede0eb350b40f6" /></Relationships>
</file>

<file path=word/document.xml><?xml version="1.0" encoding="utf-8"?>
<w:document xmlns:w="http://schemas.openxmlformats.org/wordprocessingml/2006/main">
  <w:body>
    <w:p>
      <w:r>
        <w:t>S-0413.1</w:t>
      </w:r>
    </w:p>
    <w:p>
      <w:pPr>
        <w:jc w:val="center"/>
      </w:pPr>
      <w:r>
        <w:t>_______________________________________________</w:t>
      </w:r>
    </w:p>
    <w:p/>
    <w:p>
      <w:pPr>
        <w:jc w:val="center"/>
      </w:pPr>
      <w:r>
        <w:rPr>
          <w:b/>
        </w:rPr>
        <w:t>SENATE BILL 5111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and Dozier</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excise tax treatment of amounts received by title and escrow businesses from clients for remittance to a county filing office for the purpose of recording documents; reenacting and amending RCW 82.04.050; adding a new section to chapter 82.04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department of revenue has recently assessed title and escrow businesses for failing to collect and pay sales and use and business and occupation tax on recording surcharges.</w:t>
      </w:r>
    </w:p>
    <w:p>
      <w:pPr>
        <w:spacing w:before="0" w:after="0" w:line="408" w:lineRule="exact"/>
        <w:ind w:left="0" w:right="0" w:firstLine="576"/>
        <w:jc w:val="left"/>
      </w:pPr>
      <w:r>
        <w:rPr/>
        <w:t xml:space="preserve">(2) The legislature finds the department of revenue has not issued rule making or guidance notifying the industry of its obligation to collect and pay sales and use and business and occupation tax on recording surcharges.</w:t>
      </w:r>
    </w:p>
    <w:p>
      <w:pPr>
        <w:spacing w:before="0" w:after="0" w:line="408" w:lineRule="exact"/>
        <w:ind w:left="0" w:right="0" w:firstLine="576"/>
        <w:jc w:val="left"/>
      </w:pPr>
      <w:r>
        <w:rPr/>
        <w:t xml:space="preserve">(3) The legislature finds that some title and escrow companies have been assessed large sums of back taxes for failure to pay sales and use and business and occupation tax on recording surcharges, which creates a severe hardship for these entities, most of which are small independent businesses.</w:t>
      </w:r>
    </w:p>
    <w:p>
      <w:pPr>
        <w:spacing w:before="0" w:after="0" w:line="408" w:lineRule="exact"/>
        <w:ind w:left="0" w:right="0" w:firstLine="576"/>
        <w:jc w:val="left"/>
      </w:pPr>
      <w:r>
        <w:rPr/>
        <w:t xml:space="preserve">(4) The legislature also finds that on February 27, 2024, the court of appeals of the state of Washington, division II, published an opinion in </w:t>
      </w:r>
      <w:r>
        <w:rPr>
          <w:i/>
        </w:rPr>
        <w:t xml:space="preserve">BIAW v. The State of Washington</w:t>
      </w:r>
      <w:r>
        <w:rPr/>
        <w:t xml:space="preserve"> and, in that opinion, the court of appeals concluded that Washington's document recording surcharge is an excise tax rather than a fee because the "overwhelming purpose of the surcharge is to alleviate the housing crisis by financing certain funds, which is a desired public benefit. Only one percent of the total surcharge, $1.83, is distributed and used by the county auditor for its surcharge collection activities."</w:t>
      </w:r>
    </w:p>
    <w:p>
      <w:pPr>
        <w:spacing w:before="0" w:after="0" w:line="408" w:lineRule="exact"/>
        <w:ind w:left="0" w:right="0" w:firstLine="576"/>
        <w:jc w:val="left"/>
      </w:pPr>
      <w:r>
        <w:rPr/>
        <w:t xml:space="preserve">(5) Therefore, it is the intent of the legislature to declare that it is the policy of the state that sales and use and business and occupation taxes may not be levied on a document recording surcharge, which the court of appeals has concluded is an excise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2021 c 296 s 8 and 2021 c 143 s 2 are each reenacted and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w:t>
      </w:r>
      <w:r>
        <w:t>((</w:t>
      </w:r>
      <w:r>
        <w:rPr>
          <w:strike/>
        </w:rPr>
        <w:t xml:space="preserve">,</w:t>
      </w:r>
      <w:r>
        <w:t>))</w:t>
      </w:r>
      <w:r>
        <w:rPr/>
        <w:t xml:space="preserve"> </w:t>
      </w:r>
      <w:r>
        <w:rPr>
          <w:u w:val="single"/>
        </w:rPr>
        <w:t xml:space="preserve">and</w:t>
      </w:r>
      <w:r>
        <w:rPr/>
        <w:t xml:space="preserve"> title insurance</w:t>
      </w:r>
      <w:r>
        <w:t>((</w:t>
      </w:r>
      <w:r>
        <w:rPr>
          <w:strike/>
        </w:rPr>
        <w:t xml:space="preserve">, and escrow</w:t>
      </w:r>
      <w:r>
        <w:t>))</w:t>
      </w:r>
      <w:r>
        <w:rPr/>
        <w:t xml:space="preserve">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w:t>
      </w:r>
      <w:r>
        <w:t>((</w:t>
      </w:r>
      <w:r>
        <w:rPr>
          <w:strike/>
        </w:rPr>
        <w:t xml:space="preserve">and</w:t>
      </w:r>
      <w:r>
        <w:t>))</w:t>
      </w:r>
    </w:p>
    <w:p>
      <w:pPr>
        <w:spacing w:before="0" w:after="0" w:line="408" w:lineRule="exact"/>
        <w:ind w:left="0" w:right="0" w:firstLine="576"/>
        <w:jc w:val="left"/>
      </w:pPr>
      <w:r>
        <w:rPr/>
        <w:t xml:space="preserve">(g) </w:t>
      </w:r>
      <w:r>
        <w:rPr>
          <w:u w:val="single"/>
        </w:rPr>
        <w:t xml:space="preserve">Escrow agent services, as described in RCW 18.44.011 (7) and (8) and 18.44.021(1), that do not include amounts remitted to a county filing office for the purpose of recording documents, if separately identified on a settlement statement, HUD-1, or closing disclosure; and</w:t>
      </w:r>
    </w:p>
    <w:p>
      <w:pPr>
        <w:spacing w:before="0" w:after="0" w:line="408" w:lineRule="exact"/>
        <w:ind w:left="0" w:right="0" w:firstLine="576"/>
        <w:jc w:val="left"/>
      </w:pPr>
      <w:r>
        <w:rPr>
          <w:u w:val="single"/>
        </w:rPr>
        <w:t xml:space="preserve">(h)</w:t>
      </w:r>
      <w:r>
        <w:rPr/>
        <w:t xml:space="preserve">(i) Operating an athletic or fitness facility, including all charges for the use of such a facility or for any associated services and amenities, except as provided in </w:t>
      </w:r>
      <w:r>
        <w:t>((</w:t>
      </w:r>
      <w:r>
        <w:rPr>
          <w:strike/>
        </w:rPr>
        <w:t xml:space="preserve">(g)</w:t>
      </w:r>
      <w:r>
        <w:t>))</w:t>
      </w:r>
      <w:r>
        <w:rPr/>
        <w:t xml:space="preserve"> </w:t>
      </w:r>
      <w:r>
        <w:rPr>
          <w:u w:val="single"/>
        </w:rPr>
        <w:t xml:space="preserve">(h)</w:t>
      </w:r>
      <w:r>
        <w:rPr/>
        <w:t xml:space="preserve">(ii) of this subsection.</w:t>
      </w:r>
    </w:p>
    <w:p>
      <w:pPr>
        <w:spacing w:before="0" w:after="0" w:line="408" w:lineRule="exact"/>
        <w:ind w:left="0" w:right="0" w:firstLine="576"/>
        <w:jc w:val="left"/>
      </w:pPr>
      <w:r>
        <w:rPr/>
        <w:t xml:space="preserve">(ii) Notwithstanding anything to the contrary in </w:t>
      </w:r>
      <w:r>
        <w:t>((</w:t>
      </w:r>
      <w:r>
        <w:rPr>
          <w:strike/>
        </w:rPr>
        <w:t xml:space="preserve">(g)</w:t>
      </w:r>
      <w:r>
        <w:t>))</w:t>
      </w:r>
      <w:r>
        <w:rPr/>
        <w:t xml:space="preserve"> </w:t>
      </w:r>
      <w:r>
        <w:rPr>
          <w:u w:val="single"/>
        </w:rPr>
        <w:t xml:space="preserve">(h)</w:t>
      </w:r>
      <w:r>
        <w:rPr/>
        <w:t xml:space="preserve">(i)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w:t>
      </w:r>
      <w:r>
        <w:t>((</w:t>
      </w:r>
      <w:r>
        <w:rPr>
          <w:strike/>
        </w:rPr>
        <w:t xml:space="preserve">(g)</w:t>
      </w:r>
      <w:r>
        <w:t>))</w:t>
      </w:r>
      <w:r>
        <w:rPr/>
        <w:t xml:space="preserve"> </w:t>
      </w:r>
      <w:r>
        <w:rPr>
          <w:u w:val="single"/>
        </w:rPr>
        <w:t xml:space="preserve">(h)</w:t>
      </w:r>
      <w:r>
        <w:rPr/>
        <w:t xml:space="preserve">(ii)(C)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w:t>
      </w:r>
      <w:r>
        <w:t>((</w:t>
      </w:r>
      <w:r>
        <w:rPr>
          <w:strike/>
        </w:rPr>
        <w:t xml:space="preserve">(g)</w:t>
      </w:r>
      <w:r>
        <w:t>))</w:t>
      </w:r>
      <w:r>
        <w:rPr/>
        <w:t xml:space="preserve"> </w:t>
      </w:r>
      <w:r>
        <w:rPr>
          <w:u w:val="single"/>
        </w:rPr>
        <w:t xml:space="preserve">(h)</w:t>
      </w:r>
      <w:r>
        <w:rPr/>
        <w:t xml:space="preserve">(ii)(D), an authorized health care practitioner means a health care practitioner licensed under chapter 18.83, 18.25, 18.36A, 18.57, 18.71, or 18.71A RCW, or, until July 1, 2022, chapter 18.57A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w:t>
      </w:r>
      <w:r>
        <w:t>((</w:t>
      </w:r>
      <w:r>
        <w:rPr>
          <w:strike/>
        </w:rPr>
        <w:t xml:space="preserve">(g)</w:t>
      </w:r>
      <w:r>
        <w:t>))</w:t>
      </w:r>
      <w:r>
        <w:rPr/>
        <w:t xml:space="preserve"> </w:t>
      </w:r>
      <w:r>
        <w:rPr>
          <w:u w:val="single"/>
        </w:rPr>
        <w:t xml:space="preserve">(h)</w:t>
      </w:r>
      <w:r>
        <w:rPr/>
        <w:t xml:space="preserve">. For purposes of this subsection (3)</w:t>
      </w:r>
      <w:r>
        <w:t>((</w:t>
      </w:r>
      <w:r>
        <w:rPr>
          <w:strike/>
        </w:rPr>
        <w:t xml:space="preserve">(g)</w:t>
      </w:r>
      <w:r>
        <w:t>))</w:t>
      </w:r>
      <w:r>
        <w:rPr/>
        <w:t xml:space="preserve"> </w:t>
      </w:r>
      <w:r>
        <w:rPr>
          <w:u w:val="single"/>
        </w:rPr>
        <w:t xml:space="preserve">(h)</w:t>
      </w:r>
      <w:r>
        <w:rPr/>
        <w:t xml:space="preserve">(ii)(G),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r>
        <w:rPr/>
        <w:t xml:space="preserve">.</w:t>
      </w:r>
    </w:p>
    <w:p>
      <w:pPr>
        <w:spacing w:before="0" w:after="0" w:line="408" w:lineRule="exact"/>
        <w:ind w:left="0" w:right="0" w:firstLine="576"/>
        <w:jc w:val="left"/>
      </w:pPr>
      <w:r>
        <w:rPr/>
        <w:t xml:space="preserve">(iii) Nothing in </w:t>
      </w:r>
      <w:r>
        <w:t>((</w:t>
      </w:r>
      <w:r>
        <w:rPr>
          <w:strike/>
        </w:rPr>
        <w:t xml:space="preserve">(g)</w:t>
      </w:r>
      <w:r>
        <w:t>))</w:t>
      </w:r>
      <w:r>
        <w:rPr/>
        <w:t xml:space="preserve"> </w:t>
      </w:r>
      <w:r>
        <w:rPr>
          <w:u w:val="single"/>
        </w:rPr>
        <w:t xml:space="preserve">(h)</w:t>
      </w:r>
      <w:r>
        <w:rPr/>
        <w:t xml:space="preserve">(ii)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w:t>
      </w:r>
      <w:r>
        <w:t>((</w:t>
      </w:r>
      <w:r>
        <w:rPr>
          <w:strike/>
        </w:rPr>
        <w:t xml:space="preserve">(g)</w:t>
      </w:r>
      <w:r>
        <w:t>))</w:t>
      </w:r>
      <w:r>
        <w:rPr/>
        <w:t xml:space="preserve"> </w:t>
      </w:r>
      <w:r>
        <w:rPr>
          <w:u w:val="single"/>
        </w:rPr>
        <w:t xml:space="preserve">(h)</w:t>
      </w:r>
      <w:r>
        <w:rPr/>
        <w:t xml:space="preserve">,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21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18, or that are focused on providing individuals with disabilities or mental illness, the opportunity to participate in a variety of supervised activities.</w:t>
      </w:r>
    </w:p>
    <w:p>
      <w:pPr>
        <w:spacing w:before="0" w:after="0" w:line="408" w:lineRule="exact"/>
        <w:ind w:left="0" w:right="0" w:firstLine="576"/>
        <w:jc w:val="left"/>
      </w:pPr>
      <w:r>
        <w:rPr/>
        <w:t xml:space="preserve">(16)(a) The term "sale at retail" or "retail sale" includes the purchase or acquisition of tangible personal property and specified services by a person who receives either a qualifying grant exempt from tax under RCW 82.04.767 or 82.16.320 or a grant deductible under RCW 82.04.4339, except for transactions excluded from the definition of "sale at retail" or "retail sale" by any other provision of this section. Nothing in this subsection (16) may be construed to limit the application of any other provision of this section to purchases by a recipient of either a qualifying grant exempt from tax under RCW 82.04.767 or a grant deductible under RCW 82.04.4339, or by any other person.</w:t>
      </w:r>
    </w:p>
    <w:p>
      <w:pPr>
        <w:spacing w:before="0" w:after="0" w:line="408" w:lineRule="exact"/>
        <w:ind w:left="0" w:right="0" w:firstLine="576"/>
        <w:jc w:val="left"/>
      </w:pPr>
      <w:r>
        <w:rPr/>
        <w:t xml:space="preserve">(b) For purposes of this subsection (16), "specified services" means:</w:t>
      </w:r>
    </w:p>
    <w:p>
      <w:pPr>
        <w:spacing w:before="0" w:after="0" w:line="408" w:lineRule="exact"/>
        <w:ind w:left="0" w:right="0" w:firstLine="576"/>
        <w:jc w:val="left"/>
      </w:pPr>
      <w:r>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t xml:space="preserve">(ii) The clearing of land or the moving of earth, whether or not associated with activities described in (b)(i) of this subsection (16);</w:t>
      </w:r>
    </w:p>
    <w:p>
      <w:pPr>
        <w:spacing w:before="0" w:after="0" w:line="408" w:lineRule="exact"/>
        <w:ind w:left="0" w:right="0" w:firstLine="576"/>
        <w:jc w:val="left"/>
      </w:pPr>
      <w:r>
        <w:rPr/>
        <w:t xml:space="preserve">(iii) The razing or moving of existing buildings or structures; and</w:t>
      </w:r>
    </w:p>
    <w:p>
      <w:pPr>
        <w:spacing w:before="0" w:after="0" w:line="408" w:lineRule="exact"/>
        <w:ind w:left="0" w:right="0" w:firstLine="576"/>
        <w:jc w:val="left"/>
      </w:pPr>
      <w:r>
        <w:rPr/>
        <w:t xml:space="preserve">(iv) Landscape maintenance and horticultural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remitted to a county filing office for the purpose of recording documents.</w:t>
      </w:r>
    </w:p>
    <w:p>
      <w:pPr>
        <w:spacing w:before="0" w:after="0" w:line="408" w:lineRule="exact"/>
        <w:ind w:left="0" w:right="0" w:firstLine="576"/>
        <w:jc w:val="left"/>
      </w:pPr>
      <w:r>
        <w:rPr/>
        <w:t xml:space="preserve">(2) A person is eligible for the exemption under this section if the person is primarily engaged in escrow agent services as described in RCW 18.44.011 (7) and (8) and 18.44.021(1).</w:t>
      </w:r>
    </w:p>
    <w:p>
      <w:pPr>
        <w:spacing w:before="0" w:after="0" w:line="408" w:lineRule="exact"/>
        <w:ind w:left="0" w:right="0" w:firstLine="576"/>
        <w:jc w:val="left"/>
      </w:pPr>
      <w:r>
        <w:rPr/>
        <w:t xml:space="preserve">(3) The remittance amounts must be separately identified on a settlement statement, HUD-1, or closing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e31cf426b40f4b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a806da995541b2" /><Relationship Type="http://schemas.openxmlformats.org/officeDocument/2006/relationships/footer" Target="/word/footer1.xml" Id="Re31cf426b40f4b1c" /></Relationships>
</file>