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f0e6869e7940d8" /></Relationships>
</file>

<file path=word/document.xml><?xml version="1.0" encoding="utf-8"?>
<w:document xmlns:w="http://schemas.openxmlformats.org/wordprocessingml/2006/main">
  <w:body>
    <w:p>
      <w:r>
        <w:t>S-0203.1</w:t>
      </w:r>
    </w:p>
    <w:p>
      <w:pPr>
        <w:jc w:val="center"/>
      </w:pPr>
      <w:r>
        <w:t>_______________________________________________</w:t>
      </w:r>
    </w:p>
    <w:p/>
    <w:p>
      <w:pPr>
        <w:jc w:val="center"/>
      </w:pPr>
      <w:r>
        <w:rPr>
          <w:b/>
        </w:rPr>
        <w:t>SENATE BILL 5125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Lovick</w:t>
      </w:r>
    </w:p>
    <w:p/>
    <w:p>
      <w:r>
        <w:rPr>
          <w:t xml:space="preserve">Prefiled 12/30/24.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calculating the provider rate for certain community residential services; adding a new section to chapter 71A.12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use the King county classification for the purposes of determining the provider rate in Snohomish county for community residential service businesses as defined in RCW 74.39A.009.</w:t>
      </w:r>
    </w:p>
    <w:p>
      <w:pPr>
        <w:spacing w:before="0" w:after="0" w:line="408" w:lineRule="exact"/>
        <w:ind w:left="0" w:right="0" w:firstLine="576"/>
        <w:jc w:val="left"/>
      </w:pPr>
      <w:r>
        <w:rPr/>
        <w:t xml:space="preserve">(2) For purposes of this section, "provider rate" means the rate for each tier that is specific to county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b8c353cd25b642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bec2a6649e4538" /><Relationship Type="http://schemas.openxmlformats.org/officeDocument/2006/relationships/footer" Target="/word/footer1.xml" Id="Rb8c353cd25b6420c" /></Relationships>
</file>