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ed11fe9ef4a63" /></Relationships>
</file>

<file path=word/document.xml><?xml version="1.0" encoding="utf-8"?>
<w:document xmlns:w="http://schemas.openxmlformats.org/wordprocessingml/2006/main">
  <w:body>
    <w:p>
      <w:r>
        <w:t>Z-0254.1</w:t>
      </w:r>
    </w:p>
    <w:p>
      <w:pPr>
        <w:jc w:val="center"/>
      </w:pPr>
      <w:r>
        <w:t>_______________________________________________</w:t>
      </w:r>
    </w:p>
    <w:p/>
    <w:p>
      <w:pPr>
        <w:jc w:val="center"/>
      </w:pPr>
      <w:r>
        <w:rPr>
          <w:b/>
        </w:rPr>
        <w:t>SENATE BILL 5133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and Trudeau; by request of Administrative Office of the Courts</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departures from the guidelines for caregiver status;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defendant's caregiver status as a primary parent, legal guardian, or custodian with physical custody of a minor child, or status as primary caregiver for other family members, including elders and grandchildren.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t xml:space="preserve"> </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232e8fa92b9f4e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4a67d545546ac" /><Relationship Type="http://schemas.openxmlformats.org/officeDocument/2006/relationships/footer" Target="/word/footer1.xml" Id="R232e8fa92b9f4ea5" /></Relationships>
</file>