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c387d5c1d446a" /></Relationships>
</file>

<file path=word/document.xml><?xml version="1.0" encoding="utf-8"?>
<w:document xmlns:w="http://schemas.openxmlformats.org/wordprocessingml/2006/main">
  <w:body>
    <w:p>
      <w:r>
        <w:t>S-0264.1</w:t>
      </w:r>
    </w:p>
    <w:p>
      <w:pPr>
        <w:jc w:val="center"/>
      </w:pPr>
      <w:r>
        <w:t>_______________________________________________</w:t>
      </w:r>
    </w:p>
    <w:p/>
    <w:p>
      <w:pPr>
        <w:jc w:val="center"/>
      </w:pPr>
      <w:r>
        <w:rPr>
          <w:b/>
        </w:rPr>
        <w:t>SENATE BILL 5190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Conway, Shewmake, Bateman, Riccelli, Hasegawa, Saldaña, and Lovick</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school districts to request extensions to state energy performance standard deadlines for K-12 school buildings; and amending RCW 19.27A.210.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2023 c 291 s 3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RCW 19.27A.220.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(e) Must provide an alternative compliance pathway for an owner of a state campus district energy system, in accordance with RCW 19.27A.260, and more broadly for the owner of any campus district energy system that is approved by the department to opt-in in accordance with RCW 19.27A.260(6);</w:t>
      </w:r>
    </w:p>
    <w:p>
      <w:pPr>
        <w:spacing w:before="0" w:after="0" w:line="408" w:lineRule="exact"/>
        <w:ind w:left="0" w:right="0" w:firstLine="576"/>
        <w:jc w:val="left"/>
      </w:pPr>
      <w:r>
        <w:rPr/>
        <w:t xml:space="preserve">(f) Must guarantee that the owner of a state campus district energy system is not required to implement more than one energy management plan and more than one operations and maintenance plan for the campus;</w:t>
      </w:r>
    </w:p>
    <w:p>
      <w:pPr>
        <w:spacing w:before="0" w:after="0" w:line="408" w:lineRule="exact"/>
        <w:ind w:left="0" w:right="0" w:firstLine="576"/>
        <w:jc w:val="left"/>
      </w:pPr>
      <w:r>
        <w:rPr/>
        <w:t xml:space="preserve">(g) Must guarantee that a state campus district energy system, as defined in RCW 19.27A.260, and all buildings connected to a state campus district energy system, are in compliance with any requirements for campus buildings to implement energy efficiency measures identified by an energy audit if:</w:t>
      </w:r>
    </w:p>
    <w:p>
      <w:pPr>
        <w:spacing w:before="0" w:after="0" w:line="408" w:lineRule="exact"/>
        <w:ind w:left="0" w:right="0" w:firstLine="576"/>
        <w:jc w:val="left"/>
      </w:pPr>
      <w:r>
        <w:rPr/>
        <w:t xml:space="preserve">(i) The energy audit demonstrates the energy savings from the state campus district energy system energy efficiency measures will be greater than the energy efficiency measures identified for the campus buildings; and</w:t>
      </w:r>
    </w:p>
    <w:p>
      <w:pPr>
        <w:spacing w:before="0" w:after="0" w:line="408" w:lineRule="exact"/>
        <w:ind w:left="0" w:right="0" w:firstLine="576"/>
        <w:jc w:val="left"/>
      </w:pPr>
      <w:r>
        <w:rPr/>
        <w:t xml:space="preserve">(ii) The state campus district energy system implements the energy efficiency measures.</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12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50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50,000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24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w:t>
      </w:r>
      <w:r>
        <w:rPr>
          <w:u w:val="single"/>
        </w:rPr>
        <w:t xml:space="preserve">(a)</w:t>
      </w:r>
      <w:r>
        <w:rPr/>
        <w:t xml:space="preserve"> A building owner of a covered commercial building must meet the following reporting schedule for complying with the standard established under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 building with more than 220,000 gross square feet, June 1, 2026;</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building with more than 90,000 gross square feet but less than 220,001 gross square feet, June 1, 2027;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a building with more than 50,000 gross square feet but less than 90,001 square feet, June 1, 2028.</w:t>
      </w:r>
    </w:p>
    <w:p>
      <w:pPr>
        <w:spacing w:before="0" w:after="0" w:line="408" w:lineRule="exact"/>
        <w:ind w:left="0" w:right="0" w:firstLine="576"/>
        <w:jc w:val="left"/>
      </w:pPr>
      <w:r>
        <w:rPr>
          <w:u w:val="single"/>
        </w:rPr>
        <w:t xml:space="preserve">(b) A school district may request to extend a K-12 school building's compliance date beyond the scheduled date established in (a) of this subsection. A request to extend must be submitted to the department prior to a building's scheduled compliance date and include a noncompliance mitigation plan that demonstrates the school district is taking action to achieve compliance. An extension granted pursuant to this subsection is valid for 10 years beyond the building's scheduled compliance date and may not be renewed.</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w:t>
      </w:r>
      <w:r>
        <w:rPr>
          <w:u w:val="single"/>
        </w:rPr>
        <w:t xml:space="preserve">(a)</w:t>
      </w:r>
      <w:r>
        <w:rPr/>
        <w:t xml:space="preserve"> The department is authorized to impose an administrative penalty upon a building owner for failing to submit documentation demonstrating compliance with the requirements of this section. The penalty may not exceed an amount equal to $5,000 plus an amount based on the duration of any continuing violation. The additional amount for a continuing violation may not exceed a daily amount equal to $1 per year per gross square foot of floor area. The department may by rule increase the maximum penalty rates to adjust for the effects of inflation.</w:t>
      </w:r>
    </w:p>
    <w:p>
      <w:pPr>
        <w:spacing w:before="0" w:after="0" w:line="408" w:lineRule="exact"/>
        <w:ind w:left="0" w:right="0" w:firstLine="576"/>
        <w:jc w:val="left"/>
      </w:pPr>
      <w:r>
        <w:rPr>
          <w:u w:val="single"/>
        </w:rPr>
        <w:t xml:space="preserve">(b) The department may not impose an administrative penalty upon a school district that submits a request to extend a K-12 school building's compliance date as authorized in subsection (8)(b) of this section.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w:t>
      </w:r>
      <w:r>
        <w:rPr>
          <w:u w:val="single"/>
        </w:rPr>
        <w:t xml:space="preserve">Rules necessary to grant extensions to school districts as authorized in subsection (8)(b) of this section;</w:t>
      </w:r>
    </w:p>
    <w:p>
      <w:pPr>
        <w:spacing w:before="0" w:after="0" w:line="408" w:lineRule="exact"/>
        <w:ind w:left="0" w:right="0" w:firstLine="576"/>
        <w:jc w:val="left"/>
      </w:pPr>
      <w:r>
        <w:rPr>
          <w:u w:val="single"/>
        </w:rPr>
        <w:t xml:space="preserve">(c)</w:t>
      </w:r>
      <w:r>
        <w:rPr/>
        <w:t xml:space="preserve"> Rules necessary to enforce the standard established under this 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
      <w:pPr>
        <w:jc w:val="center"/>
      </w:pPr>
      <w:r>
        <w:rPr>
          <w:b/>
        </w:rPr>
        <w:t>--- END ---</w:t>
      </w:r>
    </w:p>
    <w:sectPr>
      <w:pgNumType w:start="1"/>
      <w:footerReference xmlns:r="http://schemas.openxmlformats.org/officeDocument/2006/relationships" r:id="R1c6f9b5fe15542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70b9993f454f79" /><Relationship Type="http://schemas.openxmlformats.org/officeDocument/2006/relationships/footer" Target="/word/footer1.xml" Id="R1c6f9b5fe1554296" /></Relationships>
</file>