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f62b5dcee42b9" /></Relationships>
</file>

<file path=word/document.xml><?xml version="1.0" encoding="utf-8"?>
<w:document xmlns:w="http://schemas.openxmlformats.org/wordprocessingml/2006/main">
  <w:body>
    <w:p>
      <w:r>
        <w:t>Z-0219.1</w:t>
      </w:r>
    </w:p>
    <w:p>
      <w:pPr>
        <w:jc w:val="center"/>
      </w:pPr>
      <w:r>
        <w:t>_______________________________________________</w:t>
      </w:r>
    </w:p>
    <w:p/>
    <w:p>
      <w:pPr>
        <w:jc w:val="center"/>
      </w:pPr>
      <w:r>
        <w:rPr>
          <w:b/>
        </w:rPr>
        <w:t>SENATE BILL 5194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and Schoesler; by request of Office of Financial Management</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new sections to chapter 43.100A RCW;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2023-2025 AND 2025-2027 BIENNIAL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2023-2025 and 2025-2027 fiscal biennia and future biennia, and all costs incidental thereto, the state finance committee is authorized to issue general obligation bonds of the state of Washington in the sum of $4,981,981,000,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$4,526,981,000 to remain in the state building construction account created by RCW 43.83.020;</w:t>
      </w:r>
    </w:p>
    <w:p>
      <w:pPr>
        <w:spacing w:before="0" w:after="0" w:line="408" w:lineRule="exact"/>
        <w:ind w:left="0" w:right="0" w:firstLine="576"/>
        <w:jc w:val="left"/>
      </w:pPr>
      <w:r>
        <w:rPr/>
        <w:t xml:space="preserve">(b) $455,000,000 to the state taxable building construction account. All receipts from taxable bonds issued are to be deposited into the account. If the state treasurer, on behalf of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or any other taxable bond accounts in lieu of any transfer otherwise provided by this section. If the state treasurer, on behalf of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or any other nontaxable bond accounts in lieu of the transfer to the state taxable building construction account otherwise provided by this subsection (1)(b). The state treasurer, on behalf of the state finance committee, shall submit written notice to the director of the office of financial management if it is determined that any such additional transfer to the state taxable building construction account or any other taxable bond accounts is necessary or that a transfer from the state taxable building construction account to the state building construction account or any other nontaxable bond accounts may be made. Moneys in the account may be spent only after appropriation.</w:t>
      </w:r>
    </w:p>
    <w:p>
      <w:pPr>
        <w:spacing w:before="0" w:after="0" w:line="408" w:lineRule="exact"/>
        <w:ind w:left="0" w:right="0" w:firstLine="576"/>
        <w:jc w:val="left"/>
      </w:pPr>
      <w:r>
        <w:rPr/>
        <w:t xml:space="preserve">(2)(a) The state treasurer shall transfer bond proceeds deposited in the state building construction account into the outdoor recreation account created by RCW 79A.25.060, the habitat conservation account created by RCW 79A.15.020, the farm and forest account created by RCW 79A.15.130, and the Ruth LeCocq Kagi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state treasurer shall transfer bond proceeds deposited in the state taxable building construction account into the Ruth LeCocq Kagi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section 101 of this act and for the payment of expenses incurred in the issuance and sale of the bonds issued for the purposes of section 101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Sections 101 through 105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7a779599e444e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d2155a8c745d3" /><Relationship Type="http://schemas.openxmlformats.org/officeDocument/2006/relationships/footer" Target="/word/footer1.xml" Id="R07a779599e444e74" /></Relationships>
</file>