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5900e2b214ba1" /></Relationships>
</file>

<file path=word/document.xml><?xml version="1.0" encoding="utf-8"?>
<w:document xmlns:w="http://schemas.openxmlformats.org/wordprocessingml/2006/main">
  <w:body>
    <w:p>
      <w:r>
        <w:t>Z-0172.1</w:t>
      </w:r>
    </w:p>
    <w:p>
      <w:pPr>
        <w:jc w:val="center"/>
      </w:pPr>
      <w:r>
        <w:t>_______________________________________________</w:t>
      </w:r>
    </w:p>
    <w:p/>
    <w:p>
      <w:pPr>
        <w:jc w:val="center"/>
      </w:pPr>
      <w:r>
        <w:rPr>
          <w:b/>
        </w:rPr>
        <w:t>SENATE BILL 5196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Conway; by request of Gambling Commission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inspection and copying of proprietary financial and security information submitted to or obtained by the gambling commission;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2023 c 340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43.168, and 43.181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w:t>
      </w:r>
      <w:r>
        <w:t>((</w:t>
      </w:r>
      <w:r>
        <w:rPr>
          <w:strike/>
        </w:rPr>
        <w:t xml:space="preserve">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r>
        <w:t>))</w:t>
      </w:r>
      <w:r>
        <w:rPr/>
        <w:t xml:space="preserve"> </w:t>
      </w:r>
      <w:r>
        <w:rPr>
          <w:u w:val="single"/>
        </w:rPr>
        <w:t xml:space="preserve">Proprietary financial and security information submitted to or obtained by the gambling commission from and on behalf of license applicants, licensees, gaming facilities, or a tribe pursuant to an approved tribal/state compact. Proprietary financial and security information includes, but is not limited to, the following:</w:t>
      </w:r>
    </w:p>
    <w:p>
      <w:pPr>
        <w:spacing w:before="0" w:after="0" w:line="408" w:lineRule="exact"/>
        <w:ind w:left="0" w:right="0" w:firstLine="576"/>
        <w:jc w:val="left"/>
      </w:pPr>
      <w:r>
        <w:rPr>
          <w:u w:val="single"/>
        </w:rPr>
        <w:t xml:space="preserve">(i) Financial statements and transactions including but not limited to independent auditors' reports and financial statements with any supporting documents, bank account records, player tracking records, bond issuances, loan agreements, purchase agreements, and stock buyouts. However, quarterly license reports are not exempt;</w:t>
      </w:r>
    </w:p>
    <w:p>
      <w:pPr>
        <w:spacing w:before="0" w:after="0" w:line="408" w:lineRule="exact"/>
        <w:ind w:left="0" w:right="0" w:firstLine="576"/>
        <w:jc w:val="left"/>
      </w:pPr>
      <w:r>
        <w:rPr>
          <w:u w:val="single"/>
        </w:rPr>
        <w:t xml:space="preserve">(ii) Information that describes the internal operational system or internal procedures of the gaming facility designed to promote efficiency, safeguard assets, and avoid fraud and error, including but not limited to records pertaining to security camera technical specifications, operation, and placement; cash out procedures and locations; cage security information; building access controls; and personally identifiable information control procedures;</w:t>
      </w:r>
    </w:p>
    <w:p>
      <w:pPr>
        <w:spacing w:before="0" w:after="0" w:line="408" w:lineRule="exact"/>
        <w:ind w:left="0" w:right="0" w:firstLine="576"/>
        <w:jc w:val="left"/>
      </w:pPr>
      <w:r>
        <w:rPr>
          <w:u w:val="single"/>
        </w:rPr>
        <w:t xml:space="preserve">(iii) Gaming facility security information, including but not limited to descriptions of facility layout and schematics, firewall configurations, network topologies, source code, software files, cryptographic hashes of software files, risk and security assessment reports, disaster recovery plans, incident response plans, and any other sensitive information that may negatively impact the security of the facility if released; and</w:t>
      </w:r>
    </w:p>
    <w:p>
      <w:pPr>
        <w:spacing w:before="0" w:after="0" w:line="408" w:lineRule="exact"/>
        <w:ind w:left="0" w:right="0" w:firstLine="576"/>
        <w:jc w:val="left"/>
      </w:pPr>
      <w:r>
        <w:rPr>
          <w:u w:val="single"/>
        </w:rPr>
        <w:t xml:space="preserve">(iv) Gaming equipment information, including but not limited to related hardware, software, and security information, such as firewall configurations, field testing data and results from testing, network topologies or diagrams, source code, software files, cryptographic hashes of software files, schematics, user credentials, system components, and any other sensitive information about the equipment that may compromise the security and integrity of the equipment if released</w:t>
      </w:r>
      <w:r>
        <w:rPr/>
        <w:t xml:space="preserve">;</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60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
      <w:pPr>
        <w:jc w:val="center"/>
      </w:pPr>
      <w:r>
        <w:rPr>
          <w:b/>
        </w:rPr>
        <w:t>--- END ---</w:t>
      </w:r>
    </w:p>
    <w:sectPr>
      <w:pgNumType w:start="1"/>
      <w:footerReference xmlns:r="http://schemas.openxmlformats.org/officeDocument/2006/relationships" r:id="R0a1c6ba5bf074d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b3098e6bf64289" /><Relationship Type="http://schemas.openxmlformats.org/officeDocument/2006/relationships/footer" Target="/word/footer1.xml" Id="R0a1c6ba5bf074d11" /></Relationships>
</file>