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a29cc8e594129" /></Relationships>
</file>

<file path=word/document.xml><?xml version="1.0" encoding="utf-8"?>
<w:document xmlns:w="http://schemas.openxmlformats.org/wordprocessingml/2006/main">
  <w:body>
    <w:p>
      <w:r>
        <w:t>S-0513.1</w:t>
      </w:r>
    </w:p>
    <w:p>
      <w:pPr>
        <w:jc w:val="center"/>
      </w:pPr>
      <w:r>
        <w:t>_______________________________________________</w:t>
      </w:r>
    </w:p>
    <w:p/>
    <w:p>
      <w:pPr>
        <w:jc w:val="center"/>
      </w:pPr>
      <w:r>
        <w:rPr>
          <w:b/>
        </w:rPr>
        <w:t>SENATE BILL 5199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compensation to members of the department of children, youth, and families oversight board with direct lived experience;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2021 c 304 s 4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child care centers, outdoor nature-based child care,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inspection reports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w:t>
      </w:r>
      <w:r>
        <w:t>((</w:t>
      </w:r>
      <w:r>
        <w:rPr>
          <w:strike/>
        </w:rPr>
        <w:t xml:space="preserve">The</w:t>
      </w:r>
      <w:r>
        <w:t>))</w:t>
      </w:r>
      <w:r>
        <w:rPr/>
        <w:t xml:space="preserve"> </w:t>
      </w:r>
      <w:r>
        <w:rPr>
          <w:u w:val="single"/>
        </w:rPr>
        <w:t xml:space="preserve">Unless specified otherwise,</w:t>
      </w:r>
      <w:r>
        <w:rPr/>
        <w:t xml:space="preserve"> board members shall receive no compensation for their service on the board, but shall be reimbursed for travel expenses incurred while conducting business of the board when authorized by the board and within resources allocated for this purpose</w:t>
      </w:r>
      <w:r>
        <w:t>((</w:t>
      </w:r>
      <w:r>
        <w:rPr>
          <w:strike/>
        </w:rPr>
        <w:t xml:space="preserve">, except appointed</w:t>
      </w:r>
      <w:r>
        <w:t>))</w:t>
      </w:r>
      <w:r>
        <w:rPr>
          <w:u w:val="single"/>
        </w:rPr>
        <w:t xml:space="preserve">. Appointed</w:t>
      </w:r>
      <w:r>
        <w:rPr/>
        <w:t xml:space="preserve"> legislators </w:t>
      </w:r>
      <w:r>
        <w:t>((</w:t>
      </w:r>
      <w:r>
        <w:rPr>
          <w:strike/>
        </w:rPr>
        <w:t xml:space="preserve">who</w:t>
      </w:r>
      <w:r>
        <w:t>))</w:t>
      </w:r>
      <w:r>
        <w:rPr/>
        <w:t xml:space="preserve"> shall be reimbursed for travel expenses in accordance with RCW 43.03.050 and 43.03.060. </w:t>
      </w:r>
      <w:r>
        <w:rPr>
          <w:u w:val="single"/>
        </w:rPr>
        <w:t xml:space="preserve">Board members with direct lived experience may receive compensation as provided in RCW 43.03.220 and 43.03.270 and are entitled to be reimbursed for travel expenses as provided in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w:t>
      </w:r>
      <w:r>
        <w:rPr>
          <w:u w:val="single"/>
        </w:rPr>
        <w:t xml:space="preserve">"Direct lived experience" has the same meaning as provided in RCW 43.03.220.</w:t>
      </w:r>
    </w:p>
    <w:p>
      <w:pPr>
        <w:spacing w:before="0" w:after="0" w:line="408" w:lineRule="exact"/>
        <w:ind w:left="0" w:right="0" w:firstLine="576"/>
        <w:jc w:val="left"/>
      </w:pPr>
      <w:r>
        <w:rPr>
          <w:u w:val="single"/>
        </w:rPr>
        <w:t xml:space="preserve">(c)</w:t>
      </w:r>
      <w:r>
        <w:rPr/>
        <w:t xml:space="preserve"> "Director" means the director of the office of innovation, alignment, and accountability.</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
      <w:pPr>
        <w:jc w:val="center"/>
      </w:pPr>
      <w:r>
        <w:rPr>
          <w:b/>
        </w:rPr>
        <w:t>--- END ---</w:t>
      </w:r>
    </w:p>
    <w:sectPr>
      <w:pgNumType w:start="1"/>
      <w:footerReference xmlns:r="http://schemas.openxmlformats.org/officeDocument/2006/relationships" r:id="R359645c77cea4a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99622f35524f6f" /><Relationship Type="http://schemas.openxmlformats.org/officeDocument/2006/relationships/footer" Target="/word/footer1.xml" Id="R359645c77cea4acf" /></Relationships>
</file>