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415381e297475a" /></Relationships>
</file>

<file path=word/document.xml><?xml version="1.0" encoding="utf-8"?>
<w:document xmlns:w="http://schemas.openxmlformats.org/wordprocessingml/2006/main">
  <w:body>
    <w:p>
      <w:r>
        <w:t>S-0475.1</w:t>
      </w:r>
    </w:p>
    <w:p>
      <w:pPr>
        <w:jc w:val="center"/>
      </w:pPr>
      <w:r>
        <w:t>_______________________________________________</w:t>
      </w:r>
    </w:p>
    <w:p/>
    <w:p>
      <w:pPr>
        <w:jc w:val="center"/>
      </w:pPr>
      <w:r>
        <w:rPr>
          <w:b/>
        </w:rPr>
        <w:t>SENATE BILL 5213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McCune</w:t>
      </w:r>
    </w:p>
    <w:p/>
    <w:p>
      <w:r>
        <w:rPr>
          <w:t xml:space="preserve">Prefiled 01/09/25.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possession of fentanyl; amending RCW 69.50.4013, 9.94A.518, and 13.40.0357;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recognizes the escalating crisis of fentanyl use, a concern underscored by alarming data and impacts in communities across the state. According to recent department of health statistics, opioid overdoses have risen dramatically since 2018, with fentanyl now being the most prevalent cause of opioid-related fatalities. Preliminary data suggests there were 662 synthetic opioid overdose deaths during the first quarter of 2024 in Washington state, a near record high.</w:t>
      </w:r>
    </w:p>
    <w:p>
      <w:pPr>
        <w:spacing w:before="0" w:after="0" w:line="408" w:lineRule="exact"/>
        <w:ind w:left="0" w:right="0" w:firstLine="576"/>
        <w:jc w:val="left"/>
      </w:pPr>
      <w:r>
        <w:rPr/>
        <w:t xml:space="preserve">The intent of this act is to address the public health emergency posed by fentanyl by prioritizing public safety. By categorizing the possession of fentanyl as a felony, the legislature aims to deter its illegal distribution and use. This approach seeks to reduce the availability of fentanyl on the streets and curb the associated harms, including addiction, overdose, and death.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2024 c 9 s 2 are each amended to read as follows:</w:t>
      </w:r>
    </w:p>
    <w:p>
      <w:pPr>
        <w:spacing w:before="0" w:after="0" w:line="408" w:lineRule="exact"/>
        <w:ind w:left="0" w:right="0" w:firstLine="576"/>
        <w:jc w:val="left"/>
      </w:pPr>
      <w:r>
        <w:rPr/>
        <w:t xml:space="preserve">(1) Except as otherwise authorized by this chapter, it is unlawful for any person to:</w:t>
      </w:r>
    </w:p>
    <w:p>
      <w:pPr>
        <w:spacing w:before="0" w:after="0" w:line="408" w:lineRule="exact"/>
        <w:ind w:left="0" w:right="0" w:firstLine="576"/>
        <w:jc w:val="left"/>
      </w:pPr>
      <w:r>
        <w:rPr/>
        <w:t xml:space="preserve">(a) Knowingly possess a controlled substance unless the substance was obtained directly from, or pursuant to, a valid prescription or order of a practitioner while acting in the course of his or her professional practice; or</w:t>
      </w:r>
    </w:p>
    <w:p>
      <w:pPr>
        <w:spacing w:before="0" w:after="0" w:line="408" w:lineRule="exact"/>
        <w:ind w:left="0" w:right="0" w:firstLine="576"/>
        <w:jc w:val="left"/>
      </w:pPr>
      <w:r>
        <w:rPr/>
        <w:t xml:space="preserve">(b) Knowingly use a controlled substance in a public place, unless the substance was obtained directly from, or pursuant to, a valid prescription or order of a practitioner while acting in the course of his or her professional practice.</w:t>
      </w:r>
    </w:p>
    <w:p>
      <w:pPr>
        <w:spacing w:before="0" w:after="0" w:line="408" w:lineRule="exact"/>
        <w:ind w:left="0" w:right="0" w:firstLine="576"/>
        <w:jc w:val="left"/>
      </w:pPr>
      <w:r>
        <w:rPr/>
        <w:t xml:space="preserve">(2)(a) Except as provided in RCW 69.50.4014 or 69.50.445 </w:t>
      </w:r>
      <w:r>
        <w:rPr>
          <w:u w:val="single"/>
        </w:rPr>
        <w:t xml:space="preserve">or (b) of this subsection</w:t>
      </w:r>
      <w:r>
        <w:rPr/>
        <w:t xml:space="preserve">, a violation of subsection (1)(a) or (b) of this section is a gross misdemeanor punishable by imprisonment of up to 180 days in jail, or by a fine of not more than $1,000, or by both such imprisonment and fine, however, if the defendant has two or more prior convictions under subsection (1)(a) or (b) of this section occurring after July 1, 2023, a violation of subsection (1)(a) or (b) of this section is punishable by imprisonment for up to 364 days, or by a fine of not more than $1,000, or by both such imprisonment and fine. The prosecutor is encouraged to divert such cases for assessment, treatment, or other services.</w:t>
      </w:r>
    </w:p>
    <w:p>
      <w:pPr>
        <w:spacing w:before="0" w:after="0" w:line="408" w:lineRule="exact"/>
        <w:ind w:left="0" w:right="0" w:firstLine="576"/>
        <w:jc w:val="left"/>
      </w:pPr>
      <w:r>
        <w:rPr/>
        <w:t xml:space="preserve">(b) </w:t>
      </w:r>
      <w:r>
        <w:rPr>
          <w:u w:val="single"/>
        </w:rPr>
        <w:t xml:space="preserve">Any person who violates this section by knowingly possessing fentanyl is guilty of a class C felony punishable according to chapter 9A.20 RCW.</w:t>
      </w:r>
    </w:p>
    <w:p>
      <w:pPr>
        <w:spacing w:before="0" w:after="0" w:line="408" w:lineRule="exact"/>
        <w:ind w:left="0" w:right="0" w:firstLine="576"/>
        <w:jc w:val="left"/>
      </w:pPr>
      <w:r>
        <w:rPr>
          <w:u w:val="single"/>
        </w:rPr>
        <w:t xml:space="preserve">(c)</w:t>
      </w:r>
      <w:r>
        <w:rPr/>
        <w:t xml:space="preserve"> No person may be charged under both subsection (1)(a) and (b) of this section relating to the same course of conduct.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 lieu of jail booking and referral to the prosecutor,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(3)(a) The possession, by a person 21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21 years of age or older to one or more persons 21 years of age or older, during a single 24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36 ounces of cannabis-infused product in liquid form unless the cannabis-infused product in liquid form is packaged in individual units containing no more than four milligrams of THC per unit;</w:t>
      </w:r>
    </w:p>
    <w:p>
      <w:pPr>
        <w:spacing w:before="0" w:after="0" w:line="408" w:lineRule="exact"/>
        <w:ind w:left="0" w:right="0" w:firstLine="576"/>
        <w:jc w:val="left"/>
      </w:pPr>
      <w:r>
        <w:rPr/>
        <w:t xml:space="preserve">(iv) 100 milligrams of THC within a cannabis-infused product in liquid form if the product is packaged in individual units containing no more than four milligrams of THC per unit; or</w:t>
      </w:r>
    </w:p>
    <w:p>
      <w:pPr>
        <w:spacing w:before="0" w:after="0" w:line="408" w:lineRule="exact"/>
        <w:ind w:left="0" w:right="0" w:firstLine="576"/>
        <w:jc w:val="left"/>
      </w:pPr>
      <w:r>
        <w:rPr/>
        <w:t xml:space="preserve">(v)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21 years of age may manufacture, sell, distribute, or knowingly possess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0" w:after="0" w:line="408" w:lineRule="exact"/>
        <w:ind w:left="0" w:right="0" w:firstLine="576"/>
        <w:jc w:val="left"/>
      </w:pPr>
      <w:r>
        <w:rPr/>
        <w:t xml:space="preserve">(7)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(8) For the purposes of this section, "use a controlled substance" means to introduce the substance into the human body by injection, inhalation, ingestion, or any other means.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518</w:t>
      </w:r>
      <w:r>
        <w:rPr/>
        <w:t xml:space="preserve"> and 2023 c 66 s 2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DRUG OFFENSES</w:t>
            </w:r>
          </w:p>
          <w:p>
            <w:pPr>
              <w:spacing w:before="0" w:after="0" w:line="408" w:lineRule="exact"/>
              <w:ind w:left="0" w:right="0" w:firstLine="0"/>
              <w:jc w:val="center"/>
            </w:pPr>
            <w:r>
              <w:rPr>
                <w:rFonts w:ascii="Times New Roman" w:hAnsi="Times New Roman"/>
                <w:sz w:val="20"/>
              </w:rPr>
              <w:t xml:space="preserve">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Any felony offense under chapter 69.50 RCW with a deadly weapon special verdict under RCW 9.94A.825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Controlled Substance Homicide (RCW 69.50.415)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imitation controlled substance by person eighteen or over to person under eighteen (RCW 69.52.030(2))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Involving a minor in drug dealing (RCW 69.50.4015)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heroin, methamphetamine, a narcotic from Schedule I or II, or flunitrazepam from Schedule IV to someone under 18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Over 18 and deliver narcotic from Schedule III, IV, or V or a nonnarcotic, except flunitrazepam or methamphetamine, from Schedule I-V to someone under 18 and 3 years junior (RCW 69.50.406)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Ephedrine, Pseudoephedrine, or Anhydrous Ammonia with intent to manufacture methamphetamine (RCW 69.50.440)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Selling for profit (controlled or counterfeit) any controlled substance (RCW 69.50.410)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Create or deliver a counterfeit controlled substance (RCW 69.50.4011(1)(a))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 or possess with intent to deliver methamphetamine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Delivery of a material in lieu of a controlled substance (RCW 69.50.4012)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Maintaining a Dwelling or Place for Controlled Substances (RCW 69.50.402(1)(f))</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amphetamine (RCW 69.50.401(2)(b))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 or II or flunitrazepam from Schedule IV (RCW 69.50.401(2)(a))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narcotics from Schedule III, IV, or V or nonnarcotics from Schedule I-V (except cannabis as defined in RCW 69.50.101, amphetamine, methamphetamines, or flunitrazepam) (RCW 69.50.401(2) (c) through (e))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distribute, or possess with intent to distribute an imitation controlled substance (RCW 69.52.030(1))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 purchase, deliver, sell, or possess with intent to sell a tableting machine or encapsulating machine (RCW 69.50.418)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(RCW 69.41.020)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Forged Prescription for a Controlled Substance (RCW 69.50.403)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deliver, or possess with intent to deliver cannabis as defined in RCW 69.50.101 (RCW 69.50.401(2)(c))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Possession of Fentanyl (RCW 69.50.4013(2)(b))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720" w:type="dxa"/>
            <w:vAlign w:val="top"/>
            <w:tcMar>
              <w:left w:w="120"/>
            </w:tcMar>
            <w:tcMar>
              <w:right w:w="120"/>
            </w:tcMar>
            <w:tcMar>
              <w:top w:w="40"/>
            </w:tcMar>
            <w:tcMar>
              <w:bottom w:w="40"/>
            </w:tcMar>
          </w:tcPr>
          <w:p>
            <w:pPr>
              <w:spacing w:before="0" w:after="0" w:line="408" w:lineRule="exact"/>
              <w:ind w:left="0" w:right="0" w:firstLine="0"/>
              <w:jc w:val="right"/>
            </w:pPr>
          </w:p>
        </w:tc>
        <w:tc>
          <w:tcPr>
            <w:tcW w:w="342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Building for Drug Purposes (RCW 69.53.010)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Possession of Fentanyl (69.50.4013(2)(b))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0996e56791948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18e4745bf45d0" /><Relationship Type="http://schemas.openxmlformats.org/officeDocument/2006/relationships/footer" Target="/word/footer1.xml" Id="R30996e567919485c" /></Relationships>
</file>