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d112d3db149e2" /></Relationships>
</file>

<file path=word/document.xml><?xml version="1.0" encoding="utf-8"?>
<w:document xmlns:w="http://schemas.openxmlformats.org/wordprocessingml/2006/main">
  <w:body>
    <w:p>
      <w:r>
        <w:t>S-0511.1</w:t>
      </w:r>
    </w:p>
    <w:p>
      <w:pPr>
        <w:jc w:val="center"/>
      </w:pPr>
      <w:r>
        <w:t>_______________________________________________</w:t>
      </w:r>
    </w:p>
    <w:p/>
    <w:p>
      <w:pPr>
        <w:jc w:val="center"/>
      </w:pPr>
      <w:r>
        <w:rPr>
          <w:b/>
        </w:rPr>
        <w:t>SENATE BILL 5222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Chapman</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amending RCW 59.18.140, 59.18.270, 59.18.170, 59.20.090, 59.20.170, 59.20.060, and 59.20.030; adding new sections to chapter 59.18 RCW; adding new sections to chapter 59.20 RCW; creating new sections;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is in the midst of a housing affordability crisis. Homes cannot be built fast enough to meet the urgent need to keep families, seniors, and all Washington renters housed.</w:t>
      </w:r>
    </w:p>
    <w:p>
      <w:pPr>
        <w:spacing w:before="0" w:after="0" w:line="408" w:lineRule="exact"/>
        <w:ind w:left="0" w:right="0" w:firstLine="576"/>
        <w:jc w:val="left"/>
      </w:pPr>
      <w:r>
        <w:rPr/>
        <w:t xml:space="preserve">(b) Residential rents and manufactured/mobile home lot rents have increased at a rate that outpaces inflation, wage growth, cost of living adjustments for programs like social security, and other standard economic metrics that drive price increases. In October 2024, the United States census bureau reported that 15 percent of renter households in Washington received a rent increase of over $250 ($3,000 per year). The United States census bureau also reported that Black households received higher rent increases than other racial groups and that almost a quarter of Black renters received rent increases of over $250 per month. In addition, 57 percent of renter households with children under the age of 18 received a rent increase of over $100, while 22 percent received rent increases of over $250.</w:t>
      </w:r>
    </w:p>
    <w:p>
      <w:pPr>
        <w:spacing w:before="0" w:after="0" w:line="408" w:lineRule="exact"/>
        <w:ind w:left="0" w:right="0" w:firstLine="576"/>
        <w:jc w:val="left"/>
      </w:pPr>
      <w:r>
        <w:rPr/>
        <w:t xml:space="preserve">(c) Tenants in residential and manufactured/mobile home settings are subject to not only excessive rent increases, but also to the addition of new recurring or periodic fees that can have the effect of drastically increasing monthly housing costs. Tenants also experience arbitrary one-time fees or the addition of fees for services that were previously provided at no cost. Combined with rent increases, these fees create significant additional financial strains for renter households.</w:t>
      </w:r>
    </w:p>
    <w:p>
      <w:pPr>
        <w:spacing w:before="0" w:after="0" w:line="408" w:lineRule="exact"/>
        <w:ind w:left="0" w:right="0" w:firstLine="576"/>
        <w:jc w:val="left"/>
      </w:pPr>
      <w:r>
        <w:rPr/>
        <w:t xml:space="preserve">(d) According to the 2021 American community survey, nearly one out of every four renters in the state of Washington is over the age of 55. Households of color are disproportionately renters, and these households, as well as Hispanic households, are majority renter households.</w:t>
      </w:r>
    </w:p>
    <w:p>
      <w:pPr>
        <w:spacing w:before="0" w:after="0" w:line="408" w:lineRule="exact"/>
        <w:ind w:left="0" w:right="0" w:firstLine="576"/>
        <w:jc w:val="left"/>
      </w:pPr>
      <w:r>
        <w:rPr/>
        <w:t xml:space="preserve">(e) Excessive rent increases force renter households, including families, seniors, and young people, to lose housing opportunities. Due to excessive rent increases, renter households are increasingly unable to afford housing in communities of opportunity and are being forced to move away from their communities. Renter households are forced to make tough and often impossible decisions between paying the rent and paying for other basic necessities such as medicine, child care, and transportation. Communities, employers, and workers all suffer when businesses cannot retain or hire staff because workers have to move due to excessive rent increases, a phenomenon especially common for the service industry in heavy tourism areas.</w:t>
      </w:r>
    </w:p>
    <w:p>
      <w:pPr>
        <w:spacing w:before="0" w:after="0" w:line="408" w:lineRule="exact"/>
        <w:ind w:left="0" w:right="0" w:firstLine="576"/>
        <w:jc w:val="left"/>
      </w:pPr>
      <w:r>
        <w:rPr/>
        <w:t xml:space="preserve">(2) The legislature declares that failure to act urgently to protect Washingtonians from excessive rent increases will result in continued harm for millions of residents, especially when considering the essential nature of housing. Therefore, the legislature intends to enact rent stabilization policies in order to preserve the public peace, health, or safety of the state by providing Washington renters with predictability, transparency, and the same protections afforded to other consumers.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RESIDENTIAL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Except as authorized by an exemption under section 102 of this act, a landlord may not increase the rent and fees combined for any type of tenancy, regardless of whether the tenancy is month-to-month or for a term greater or lesser than month-to-month:</w:t>
      </w:r>
    </w:p>
    <w:p>
      <w:pPr>
        <w:spacing w:before="0" w:after="0" w:line="408" w:lineRule="exact"/>
        <w:ind w:left="0" w:right="0" w:firstLine="576"/>
        <w:jc w:val="left"/>
      </w:pPr>
      <w:r>
        <w:rPr/>
        <w:t xml:space="preserve">(i) During the first 12 months after the tenancy begins; and</w:t>
      </w:r>
    </w:p>
    <w:p>
      <w:pPr>
        <w:spacing w:before="0" w:after="0" w:line="408" w:lineRule="exact"/>
        <w:ind w:left="0" w:right="0" w:firstLine="576"/>
        <w:jc w:val="left"/>
      </w:pPr>
      <w:r>
        <w:rPr/>
        <w:t xml:space="preserve">(ii) During any 12-month period, in an amount greater than seven percent.</w:t>
      </w:r>
    </w:p>
    <w:p>
      <w:pPr>
        <w:spacing w:before="0" w:after="0" w:line="408" w:lineRule="exact"/>
        <w:ind w:left="0" w:right="0" w:firstLine="576"/>
        <w:jc w:val="left"/>
      </w:pPr>
      <w:r>
        <w:rPr/>
        <w:t xml:space="preserve">(b) This subsection (1) of this section applies to all tenancies subject to this chapter, including any such tenancies in dwelling units operated as short-term rentals and vacation rentals.</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102 of this act, the landlord must include facts supporting any claimed exemptions in the written notice of the rent increase. Notice must comply with this section, section 103 of this act, RCW 59.18.140,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102 of this act, the tenant may, in addition to any other remedies or relief available under this chapter or other law, terminate the rental agreement at any time prior to the effective date of the increase by providing the landlord with written notice at least 20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or lesser than month-to-month, or vice versa.</w:t>
      </w:r>
    </w:p>
    <w:p>
      <w:pPr>
        <w:spacing w:before="0" w:after="0" w:line="408" w:lineRule="exact"/>
        <w:ind w:left="0" w:right="0" w:firstLine="576"/>
        <w:jc w:val="left"/>
      </w:pPr>
      <w:r>
        <w:rPr/>
        <w:t xml:space="preserve">(5) A landlord who engages in practices in violation of this section, section 102 of this act, section 103 of this act, RCW 59.18.140, 59.18.170, 59.18.200, 59.18.270, or 59.18.650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104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the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increase rent and fees combined in an amount greater than allowed under section 101 of this act only as authorized by the exemptions described in this section. Rent and fee increases are not limited by section 101 of this act for any of the following types of tenancies:</w:t>
      </w:r>
    </w:p>
    <w:p>
      <w:pPr>
        <w:spacing w:before="0" w:after="0" w:line="408" w:lineRule="exact"/>
        <w:ind w:left="0" w:right="0" w:firstLine="576"/>
        <w:jc w:val="left"/>
      </w:pPr>
      <w:r>
        <w:rPr/>
        <w:t xml:space="preserve">(a) A tenancy in a dwelling unit for which the first certificate of occupancy was issued 10 or less years before the date of the notice of the rent increase.</w:t>
      </w:r>
    </w:p>
    <w:p>
      <w:pPr>
        <w:spacing w:before="0" w:after="0" w:line="408" w:lineRule="exact"/>
        <w:ind w:left="0" w:right="0" w:firstLine="576"/>
        <w:jc w:val="left"/>
      </w:pPr>
      <w:r>
        <w:rPr/>
        <w:t xml:space="preserve">(b) A tenancy in a dwelling unit owned by a: </w:t>
      </w:r>
    </w:p>
    <w:p>
      <w:pPr>
        <w:spacing w:before="0" w:after="0" w:line="408" w:lineRule="exact"/>
        <w:ind w:left="0" w:right="0" w:firstLine="576"/>
        <w:jc w:val="left"/>
      </w:pPr>
      <w:r>
        <w:rPr/>
        <w:t xml:space="preserve">(i) Public housing authority;</w:t>
      </w:r>
    </w:p>
    <w:p>
      <w:pPr>
        <w:spacing w:before="0" w:after="0" w:line="408" w:lineRule="exact"/>
        <w:ind w:left="0" w:right="0" w:firstLine="576"/>
        <w:jc w:val="left"/>
      </w:pPr>
      <w:r>
        <w:rPr/>
        <w:t xml:space="preserve">(ii) Public development authority;</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w:t>
      </w:r>
    </w:p>
    <w:p>
      <w:pPr>
        <w:spacing w:before="0" w:after="0" w:line="408" w:lineRule="exact"/>
        <w:ind w:left="0" w:right="0" w:firstLine="576"/>
        <w:jc w:val="left"/>
      </w:pPr>
      <w:r>
        <w:rPr/>
        <w:t xml:space="preserve">(iv) Nonprofit entity, as defined in RCW 84.36.560, where a nonprofit organization, housing authority, or public development authority has the majority decision-making power on behalf of the general partner, and where maximum rents are regulated by other laws or local, state, or federal affordable housing program requirements; or</w:t>
      </w:r>
    </w:p>
    <w:p>
      <w:pPr>
        <w:spacing w:before="0" w:after="0" w:line="408" w:lineRule="exact"/>
        <w:ind w:left="0" w:right="0" w:firstLine="576"/>
        <w:jc w:val="left"/>
      </w:pPr>
      <w:r>
        <w:rPr/>
        <w:t xml:space="preserve">(c) A tenancy in a qualified low-income housing development as defined in RCW 82.45.010, where the property is owned by any of the organizations described in (b)(i) through (iv) of this subsection. </w:t>
      </w:r>
    </w:p>
    <w:p>
      <w:pPr>
        <w:spacing w:before="0" w:after="0" w:line="408" w:lineRule="exact"/>
        <w:ind w:left="0" w:right="0" w:firstLine="576"/>
        <w:jc w:val="left"/>
      </w:pPr>
      <w:r>
        <w:rPr/>
        <w:t xml:space="preserve">(d) A tenancy in a dwelling unit in which the tenant shares a bathroom or kitchen facility with the owner who maintains a principal residence at the residential real property.</w:t>
      </w:r>
    </w:p>
    <w:p>
      <w:pPr>
        <w:spacing w:before="0" w:after="0" w:line="408" w:lineRule="exact"/>
        <w:ind w:left="0" w:right="0" w:firstLine="576"/>
        <w:jc w:val="left"/>
      </w:pPr>
      <w:r>
        <w:rPr/>
        <w:t xml:space="preserve">(e) A tenancy in a single-family owner-occupied residence, including a residence in which the owner-occupant rents or leases no more than two units or bedrooms including, but not limited to, an attached or detached accessory dwelling unit.</w:t>
      </w:r>
    </w:p>
    <w:p>
      <w:pPr>
        <w:spacing w:before="0" w:after="0" w:line="408" w:lineRule="exact"/>
        <w:ind w:left="0" w:right="0" w:firstLine="576"/>
        <w:jc w:val="left"/>
      </w:pPr>
      <w:r>
        <w:rPr/>
        <w:t xml:space="preserve">(f) A tenancy in a duplex in which the owner occupied one of the units as the owner's principal place of residence at the beginning of the tenancy, so long as the owner continues the occupancy.</w:t>
      </w:r>
    </w:p>
    <w:p>
      <w:pPr>
        <w:spacing w:before="0" w:after="0" w:line="408" w:lineRule="exact"/>
        <w:ind w:left="0" w:right="0" w:firstLine="576"/>
        <w:jc w:val="left"/>
      </w:pPr>
      <w:r>
        <w:rPr/>
        <w:t xml:space="preserve">(2) Subsection (1)(d) through (f) of this section only apply where the owner is not any of the following:</w:t>
      </w:r>
    </w:p>
    <w:p>
      <w:pPr>
        <w:spacing w:before="0" w:after="0" w:line="408" w:lineRule="exact"/>
        <w:ind w:left="0" w:right="0" w:firstLine="576"/>
        <w:jc w:val="left"/>
      </w:pPr>
      <w:r>
        <w:rPr/>
        <w:t xml:space="preserve">(a) A real estate investment trust, as defined in section 856 of the internal revenue code;</w:t>
      </w:r>
    </w:p>
    <w:p>
      <w:pPr>
        <w:spacing w:before="0" w:after="0" w:line="408" w:lineRule="exact"/>
        <w:ind w:left="0" w:right="0" w:firstLine="576"/>
        <w:jc w:val="left"/>
      </w:pPr>
      <w:r>
        <w:rPr/>
        <w:t xml:space="preserve">(b) A corporation; or</w:t>
      </w:r>
    </w:p>
    <w:p>
      <w:pPr>
        <w:spacing w:before="0" w:after="0" w:line="408" w:lineRule="exact"/>
        <w:ind w:left="0" w:right="0" w:firstLine="576"/>
        <w:jc w:val="left"/>
      </w:pPr>
      <w:r>
        <w:rPr/>
        <w:t xml:space="preserve">(c) A limited liability company in which at least one member is a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59.18.140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101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102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102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102 of this act (check one of the following):</w:t>
      </w:r>
    </w:p>
    <w:p>
      <w:pPr>
        <w:spacing w:before="0" w:after="0" w:line="408" w:lineRule="exact"/>
        <w:ind w:left="0" w:right="0" w:firstLine="576"/>
        <w:jc w:val="left"/>
      </w:pPr>
      <w:r>
        <w:rPr/>
        <w:t xml:space="preserve">__ The first certificate of occupancy for your dwelling unit was issued on (insert date), which is 10 or less years before the date of this rent and fee increase notice, so the maximum allowable rent and fee increase limit in section 101 of this act does not apply. (The landlord must include facts or attach documents supporting the exemption.)</w:t>
      </w:r>
    </w:p>
    <w:p>
      <w:pPr>
        <w:spacing w:before="0" w:after="0" w:line="408" w:lineRule="exact"/>
        <w:ind w:left="0" w:right="0" w:firstLine="576"/>
        <w:jc w:val="left"/>
      </w:pPr>
      <w:r>
        <w:rPr/>
        <w:t xml:space="preserve">__ You live in a dwelling unit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dwelling unit in which you share a bathroom or kitchen facility with the owner, and the owner maintains a principal residence at the residential real property. (The landlord must include facts or attach documents supporting the exemption.)</w:t>
      </w:r>
    </w:p>
    <w:p>
      <w:pPr>
        <w:spacing w:before="0" w:after="0" w:line="408" w:lineRule="exact"/>
        <w:ind w:left="0" w:right="0" w:firstLine="576"/>
        <w:jc w:val="left"/>
      </w:pPr>
      <w:r>
        <w:rPr/>
        <w:t xml:space="preserve">__ You live in a single-family residence in which the owner leases no more than two units or bedrooms including, but not limited to, an attached or detached accessory dwelling unit. (The landlord must include facts or attach documents supporting the exemption.)</w:t>
      </w:r>
    </w:p>
    <w:p>
      <w:pPr>
        <w:spacing w:before="0" w:after="0" w:line="408" w:lineRule="exact"/>
        <w:ind w:left="0" w:right="0" w:firstLine="576"/>
        <w:jc w:val="left"/>
      </w:pPr>
      <w:r>
        <w:rPr/>
        <w:t xml:space="preserve">__ You live in a duplex in which the owner occupied one of the units as the owner's principal place of residence at the beginning of the tenancy, and the owner continues in occupancy.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101 of this act, section 102 of this act, section 103 of this act, RCW 59.18.140, 59.18.170, 59.18.200, 59.18.270, and 59.18.650 are matters vitally affecting the public interest for the purpose of applying the consumer protection act, chapter 19.86 RCW. A violation of section 101 of this act, section 102 of this act, section 103 of this act, RCW 59.18.140, 59.18.170, 59.18.200, 59.18.270, or 59.18.650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create an online landlord resource center to distribute information to landlords about available programs and resources including, but not limited to, the following:</w:t>
      </w:r>
    </w:p>
    <w:p>
      <w:pPr>
        <w:spacing w:before="0" w:after="0" w:line="408" w:lineRule="exact"/>
        <w:ind w:left="0" w:right="0" w:firstLine="576"/>
        <w:jc w:val="left"/>
      </w:pPr>
      <w:r>
        <w:rPr/>
        <w:t xml:space="preserve">(a) The landlord mitigation program created in RCW 43.31.605;</w:t>
      </w:r>
    </w:p>
    <w:p>
      <w:pPr>
        <w:spacing w:before="0" w:after="0" w:line="408" w:lineRule="exact"/>
        <w:ind w:left="0" w:right="0" w:firstLine="576"/>
        <w:jc w:val="left"/>
      </w:pPr>
      <w:r>
        <w:rPr/>
        <w:t xml:space="preserve">(b) The low-income residential weatherization programs created in chapter 70A.35 RCW;</w:t>
      </w:r>
    </w:p>
    <w:p>
      <w:pPr>
        <w:spacing w:before="0" w:after="0" w:line="408" w:lineRule="exact"/>
        <w:ind w:left="0" w:right="0" w:firstLine="576"/>
        <w:jc w:val="left"/>
      </w:pPr>
      <w:r>
        <w:rPr/>
        <w:t xml:space="preserve">(c) The model lease provisions regarding rent and fee increases created by the attorney general's office under subsection (2) of this section;</w:t>
      </w:r>
    </w:p>
    <w:p>
      <w:pPr>
        <w:spacing w:before="0" w:after="0" w:line="408" w:lineRule="exact"/>
        <w:ind w:left="0" w:right="0" w:firstLine="576"/>
        <w:jc w:val="left"/>
      </w:pPr>
      <w:r>
        <w:rPr/>
        <w:t xml:space="preserve">(d) Local government resources; and</w:t>
      </w:r>
    </w:p>
    <w:p>
      <w:pPr>
        <w:spacing w:before="0" w:after="0" w:line="408" w:lineRule="exact"/>
        <w:ind w:left="0" w:right="0" w:firstLine="576"/>
        <w:jc w:val="left"/>
      </w:pPr>
      <w:r>
        <w:rPr/>
        <w:t xml:space="preserve">(e) Any other programs and resources that the department determines are relevant.</w:t>
      </w:r>
    </w:p>
    <w:p>
      <w:pPr>
        <w:spacing w:before="0" w:after="0" w:line="408" w:lineRule="exact"/>
        <w:ind w:left="0" w:right="0" w:firstLine="576"/>
        <w:jc w:val="left"/>
      </w:pPr>
      <w:r>
        <w:rPr/>
        <w:t xml:space="preserve">(2)(a) The attorney general, in consultation with appropriate stakeholders, shall publish model lease provisions regarding rent and fee increases that comply with the requirements in this chapter.</w:t>
      </w:r>
    </w:p>
    <w:p>
      <w:pPr>
        <w:spacing w:before="0" w:after="0" w:line="408" w:lineRule="exact"/>
        <w:ind w:left="0" w:right="0" w:firstLine="576"/>
        <w:jc w:val="left"/>
      </w:pPr>
      <w:r>
        <w:rPr/>
        <w:t xml:space="preserve">(b) The model lease provisions regarding rent and fee increases must be published in the top 10 languages spoken in Washington state and, at the discretion of the office of the attorney general, other languages.</w:t>
      </w:r>
    </w:p>
    <w:p>
      <w:pPr>
        <w:spacing w:before="0" w:after="0" w:line="408" w:lineRule="exact"/>
        <w:ind w:left="0" w:right="0" w:firstLine="576"/>
        <w:jc w:val="left"/>
      </w:pPr>
      <w:r>
        <w:rPr/>
        <w:t xml:space="preserve">(c) The office of the attorney general shall publish the model lease provisions regarding rent and fee increases in the following formats:</w:t>
      </w:r>
    </w:p>
    <w:p>
      <w:pPr>
        <w:spacing w:before="0" w:after="0" w:line="408" w:lineRule="exact"/>
        <w:ind w:left="0" w:right="0" w:firstLine="576"/>
        <w:jc w:val="left"/>
      </w:pPr>
      <w:r>
        <w:rPr/>
        <w:t xml:space="preserve">(i) A full digital version available on the office of the attorney general's website; and</w:t>
      </w:r>
    </w:p>
    <w:p>
      <w:pPr>
        <w:spacing w:before="0" w:after="0" w:line="408" w:lineRule="exact"/>
        <w:ind w:left="0" w:right="0" w:firstLine="576"/>
        <w:jc w:val="left"/>
      </w:pPr>
      <w:r>
        <w:rPr/>
        <w:t xml:space="preserve">(ii) Hard copy versions made available upon request to landlords, tenants, and any other relevant entities identified by the office of the attorney general.</w:t>
      </w:r>
    </w:p>
    <w:p>
      <w:pPr>
        <w:spacing w:before="0" w:after="0" w:line="408" w:lineRule="exact"/>
        <w:ind w:left="0" w:right="0" w:firstLine="576"/>
        <w:jc w:val="left"/>
      </w:pPr>
      <w:r>
        <w:rPr/>
        <w:t xml:space="preserve">(d) The office of the attorney general shall publish the first version of the model lease provisions regarding rent and fee increases by January 1, 2025, and shall periodically publish new versions of the model lease provisions as necessary to incorporate any relevant changes made to this chapter.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three percent or more, the landlord must provide written notice to each affected tenant a minimum of 180 days before the effective date of the increase. This subsection (3)(c) does not apply to any tenancy in a dwelling unit qualifying for an exemption under section 102(1) (b) and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1.5 percent of the tenant's total rent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MANUFACTURED/MOBILE HOME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202 of this act and as provided in RCW 59.20.060(2)(c),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seven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202 of this act, the landlord must include facts supporting any claimed exemptions in the written notice of the rent increase. Notice must comply with this section, section 203 of this act, RCW 59.20.090(2), and be served in accordance with RCW 59.12.040.</w:t>
      </w:r>
    </w:p>
    <w:p>
      <w:pPr>
        <w:spacing w:before="0" w:after="0" w:line="408" w:lineRule="exact"/>
        <w:ind w:left="0" w:right="0" w:firstLine="576"/>
        <w:jc w:val="left"/>
      </w:pPr>
      <w:r>
        <w:rPr/>
        <w:t xml:space="preserve">(3) If a landlord increases rent and fees combined above the amount allowed in subsection (1) of this section and the increase is not authorized by an exemption under section 202 of this act, the tenant may, in addition to any other remedies or relief available under this chapter or other law, terminate the rental agreement at any time prior to the effective date of the increase by providing the landlord with written notice at least 30 days before terminating the rental agreement. If a tenant terminates a rental agreement under this subsection, the tenant only owes pro rata rent through the date upon which the tenant vacates the dwelling unit. A landlord may not charge a tenant any fines or fees for terminating a rental agreement under this subsection.</w:t>
      </w:r>
    </w:p>
    <w:p>
      <w:pPr>
        <w:spacing w:before="0" w:after="0" w:line="408" w:lineRule="exact"/>
        <w:ind w:left="0" w:right="0" w:firstLine="576"/>
        <w:jc w:val="left"/>
      </w:pPr>
      <w:r>
        <w:rPr/>
        <w:t xml:space="preserve">(4)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(5) A landlord who engages in practices in violation of this section, section 202 of this act, section 203 of this act, RCW 59.20.060, 59.20.090, or 59.20.170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(6) The remedies provided by this section are in addition to any other remedies provided by law, including the remedies provided for in section 204 of this act.</w:t>
      </w:r>
    </w:p>
    <w:p>
      <w:pPr>
        <w:spacing w:before="0" w:after="0" w:line="408" w:lineRule="exact"/>
        <w:ind w:left="0" w:right="0" w:firstLine="576"/>
        <w:jc w:val="left"/>
      </w:pPr>
      <w:r>
        <w:rPr/>
        <w:t xml:space="preserve">(7)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(8) A landlord may not report a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(9)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201 of this act only as authorized by the exemptions described in this section or as provided in RCW 59.20.060(2)(c).</w:t>
      </w:r>
    </w:p>
    <w:p>
      <w:pPr>
        <w:spacing w:before="0" w:after="0" w:line="408" w:lineRule="exact"/>
        <w:ind w:left="0" w:right="0" w:firstLine="576"/>
        <w:jc w:val="left"/>
      </w:pPr>
      <w:r>
        <w:rPr/>
        <w:t xml:space="preserve">(1) Rent and fee increases are not limited by section 201 of this act for any of the following types of tenancies:</w:t>
      </w:r>
    </w:p>
    <w:p>
      <w:pPr>
        <w:spacing w:before="0" w:after="0" w:line="408" w:lineRule="exact"/>
        <w:ind w:left="0" w:right="0" w:firstLine="576"/>
        <w:jc w:val="left"/>
      </w:pPr>
      <w:r>
        <w:rPr/>
        <w:t xml:space="preserve">(a) A tenancy in a manufactured/mobile home lot owned by a: </w:t>
      </w:r>
    </w:p>
    <w:p>
      <w:pPr>
        <w:spacing w:before="0" w:after="0" w:line="408" w:lineRule="exact"/>
        <w:ind w:left="0" w:right="0" w:firstLine="576"/>
        <w:jc w:val="left"/>
      </w:pPr>
      <w:r>
        <w:rPr/>
        <w:t xml:space="preserve">(i) Public housing authority; </w:t>
      </w:r>
    </w:p>
    <w:p>
      <w:pPr>
        <w:spacing w:before="0" w:after="0" w:line="408" w:lineRule="exact"/>
        <w:ind w:left="0" w:right="0" w:firstLine="576"/>
        <w:jc w:val="left"/>
      </w:pPr>
      <w:r>
        <w:rPr/>
        <w:t xml:space="preserve">(ii) Public development authority; or </w:t>
      </w:r>
    </w:p>
    <w:p>
      <w:pPr>
        <w:spacing w:before="0" w:after="0" w:line="408" w:lineRule="exact"/>
        <w:ind w:left="0" w:right="0" w:firstLine="576"/>
        <w:jc w:val="left"/>
      </w:pPr>
      <w:r>
        <w:rPr/>
        <w:t xml:space="preserve">(iii) Nonprofit organization, where maximum rents are regulated by other laws or local, state, or federal affordable housing program requirements; or </w:t>
      </w:r>
    </w:p>
    <w:p>
      <w:pPr>
        <w:spacing w:before="0" w:after="0" w:line="408" w:lineRule="exact"/>
        <w:ind w:left="0" w:right="0" w:firstLine="576"/>
        <w:jc w:val="left"/>
      </w:pPr>
      <w:r>
        <w:rPr/>
        <w:t xml:space="preserve">(b) A tenancy in a qualified low-income housing development as defined in RCW 82.45.010, where the property is owned by any of the organizations described in (a)(i) through (iii) of this subsection.</w:t>
      </w:r>
    </w:p>
    <w:p>
      <w:pPr>
        <w:spacing w:before="0" w:after="0" w:line="408" w:lineRule="exact"/>
        <w:ind w:left="0" w:right="0" w:firstLine="576"/>
        <w:jc w:val="left"/>
      </w:pPr>
      <w:r>
        <w:rPr/>
        <w:t xml:space="preserve">(2)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section 201 of this act as needed to cover the cost of purchasing the manufactured/mobile home community if the increase is approved by vote or agreement with the majority of the manufactured/mobile home owners in the manufactured/mobile home community.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tenant with annual notice of rent and fee increases in substantially the following form. Notice under this section must comply with the requirements in RCW 59.20.090(2) and be served in accordance with RCW 59.12.040.</w:t>
      </w:r>
    </w:p>
    <w:p>
      <w:pPr>
        <w:spacing w:before="0" w:after="0" w:line="408" w:lineRule="exact"/>
        <w:ind w:left="0" w:right="0" w:firstLine="576"/>
        <w:jc w:val="left"/>
      </w:pPr>
      <w:r>
        <w:rPr/>
        <w:t xml:space="preserve">(2) The annual notice of rent increase requirement in this section does not apply if the rental agreement governs a subsidized tenancy where the amount of rent is based on, in whole or in part, a percentage of the income of the tenant or other circumstances specific to the subsidized household. However, for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maximum unit rents are limited by area median income levels and a tenant's base rent does not change as the tenant's income does.</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seven percent, as allowed by section 201 of this act. Your landlord is not required to raise the rent or fees by any amount.</w:t>
      </w:r>
    </w:p>
    <w:p>
      <w:pPr>
        <w:spacing w:before="0" w:after="0" w:line="408" w:lineRule="exact"/>
        <w:ind w:left="0" w:right="0" w:firstLine="576"/>
        <w:jc w:val="left"/>
      </w:pPr>
      <w:r>
        <w:rPr/>
        <w:t xml:space="preserve">(2) Your landlord may be exempt from the seven percent limit on rent and fee increases for the reasons described in section 202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202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202 of this act (check one of the following):</w:t>
      </w:r>
    </w:p>
    <w:p>
      <w:pPr>
        <w:spacing w:before="0" w:after="0" w:line="408" w:lineRule="exact"/>
        <w:ind w:left="0" w:right="0" w:firstLine="576"/>
        <w:jc w:val="left"/>
      </w:pPr>
      <w:r>
        <w:rPr/>
        <w:t xml:space="preserve">__ You live on a manufactured/mobile home lot owned by a public housing authority, public development authority, or nonprofit organization where maximum rents are regulated by other laws or local, state, or federal affordable housing program requirements, or a qualified low-income housing development as defined in RCW 82.45.010, where the property is owned by a public housing authority, public development authority, or nonprofit organization. (The landlord must include facts or attach documents supporting the exemption.)</w:t>
      </w:r>
    </w:p>
    <w:p>
      <w:pPr>
        <w:spacing w:before="0" w:after="0" w:line="408" w:lineRule="exact"/>
        <w:ind w:left="0" w:right="0" w:firstLine="576"/>
        <w:jc w:val="left"/>
      </w:pPr>
      <w:r>
        <w:rPr/>
        <w:t xml:space="preserve">__ You live in a manufactured/mobile home community that was purchased during the past 12 months by an eligible organization as defined in RCW 59.20.030 whose mission aligns with the long-term preservation and affordability of your manufactured/mobile home community, so the eligible organization may increase the annual rent and fees combined for your manufactured/mobile home community in an amount greater than allowed under section 201 of this act as needed to cover the cost of purchasing your manufactured/mobile home community if the increase is approved by vote or agreement with the majority of the manufactured/mobile home owners in your manufactured/mobile home community.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201 of this act, section 202 of this act, section 203 of this act, RCW 59.20.060, 59.20.090, and 59.20.170 are matters vitally affecting the public interest for the purpose of applying the consumer protection act, chapter 19.86 RCW. A violation of section 201 of this act, section 202 of this act, section 203 of this act, RCW 59.20.060, 59.20.090, or 59.20.170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three percent or more, the landlord must provide written notice to each affected tenant a minimum of 180 days before the effective date of the increase. This subsection (2)(b) does not apply to any tenancy in a manufactured/mobile home lot that qualifies for an exemption under section 202(1) of this act.</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1.5 percent of the tenant's total rent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2024 c 325 s 1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 whose mission aligns with the long-term preservation of the manufactured/mobile home community;</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contract with an independent third party, which may include educational institutions or private entities with subject matter expertise, to carry out a social vulnerability assessment of the impacts of this act. At a minimum, the assessment must consider the following:</w:t>
      </w:r>
    </w:p>
    <w:p>
      <w:pPr>
        <w:spacing w:before="0" w:after="0" w:line="408" w:lineRule="exact"/>
        <w:ind w:left="0" w:right="0" w:firstLine="576"/>
        <w:jc w:val="left"/>
      </w:pPr>
      <w:r>
        <w:rPr/>
        <w:t xml:space="preserve">(a) The impact of rent stabilization on extending tenancies due to rent capping.</w:t>
      </w:r>
    </w:p>
    <w:p>
      <w:pPr>
        <w:spacing w:before="0" w:after="0" w:line="408" w:lineRule="exact"/>
        <w:ind w:left="0" w:right="0" w:firstLine="576"/>
        <w:jc w:val="left"/>
      </w:pPr>
      <w:r>
        <w:rPr/>
        <w:t xml:space="preserve">(b) Whether there are social vulnerability impacts on cost burdened, immutable characteristic communities, or rural communities.</w:t>
      </w:r>
    </w:p>
    <w:p>
      <w:pPr>
        <w:spacing w:before="0" w:after="0" w:line="408" w:lineRule="exact"/>
        <w:ind w:left="0" w:right="0" w:firstLine="576"/>
        <w:jc w:val="left"/>
      </w:pPr>
      <w:r>
        <w:rPr/>
        <w:t xml:space="preserve">(c) Whether rent stabilization creates a disproportionate burden on new or transitioning renters as a result of current tenants' rent being capped.</w:t>
      </w:r>
    </w:p>
    <w:p>
      <w:pPr>
        <w:spacing w:before="0" w:after="0" w:line="408" w:lineRule="exact"/>
        <w:ind w:left="0" w:right="0" w:firstLine="576"/>
        <w:jc w:val="left"/>
      </w:pPr>
      <w:r>
        <w:rPr/>
        <w:t xml:space="preserve">(d) The impacts of rent stabilization on alternative rental markets such as short-term rentals.</w:t>
      </w:r>
    </w:p>
    <w:p>
      <w:pPr>
        <w:spacing w:before="0" w:after="0" w:line="408" w:lineRule="exact"/>
        <w:ind w:left="0" w:right="0" w:firstLine="576"/>
        <w:jc w:val="left"/>
      </w:pPr>
      <w:r>
        <w:rPr/>
        <w:t xml:space="preserve">(e) The impacts of rent stabilization on state-owned or state-run housing units.</w:t>
      </w:r>
    </w:p>
    <w:p>
      <w:pPr>
        <w:spacing w:before="0" w:after="0" w:line="408" w:lineRule="exact"/>
        <w:ind w:left="0" w:right="0" w:firstLine="576"/>
        <w:jc w:val="left"/>
      </w:pPr>
      <w:r>
        <w:rPr/>
        <w:t xml:space="preserve">(2) The assessment is due to the legislature no later than December 1, 2027, and shall be provided in compliance with RCW 43.01.036.</w:t>
      </w:r>
    </w:p>
    <w:p>
      <w:pPr>
        <w:spacing w:before="0" w:after="0" w:line="408" w:lineRule="exact"/>
        <w:ind w:left="0" w:right="0" w:firstLine="576"/>
        <w:jc w:val="left"/>
      </w:pPr>
      <w:r>
        <w:rPr/>
        <w:t xml:space="preserve">(3) This section expires July 1, 2028.</w:t>
      </w:r>
    </w:p>
    <w:p/>
    <w:p>
      <w:pPr>
        <w:jc w:val="center"/>
      </w:pPr>
      <w:r>
        <w:rPr>
          <w:b/>
        </w:rPr>
        <w:t>--- END ---</w:t>
      </w:r>
    </w:p>
    <w:sectPr>
      <w:pgNumType w:start="1"/>
      <w:footerReference xmlns:r="http://schemas.openxmlformats.org/officeDocument/2006/relationships" r:id="R11d33a42c71241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a36e6b443f4722" /><Relationship Type="http://schemas.openxmlformats.org/officeDocument/2006/relationships/footer" Target="/word/footer1.xml" Id="R11d33a42c71241e1" /></Relationships>
</file>