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3b8e07ea8a4c85" /></Relationships>
</file>

<file path=word/document.xml><?xml version="1.0" encoding="utf-8"?>
<w:document xmlns:w="http://schemas.openxmlformats.org/wordprocessingml/2006/main">
  <w:body>
    <w:p>
      <w:r>
        <w:t>S-0295.3</w:t>
      </w:r>
    </w:p>
    <w:p>
      <w:pPr>
        <w:jc w:val="center"/>
      </w:pPr>
      <w:r>
        <w:t>_______________________________________________</w:t>
      </w:r>
    </w:p>
    <w:p/>
    <w:p>
      <w:pPr>
        <w:jc w:val="center"/>
      </w:pPr>
      <w:r>
        <w:rPr>
          <w:b/>
        </w:rPr>
        <w:t>SENATE BILL 5229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civil commitment for treatment for a person requiring revival by opioid overdose reversal medication; reenacting and amending RCW 71.05.020 and 71.05.020;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17, 2024 c 209 s 5, and 2024 c 62 s 18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w:t>
      </w:r>
      <w:r>
        <w:t>((</w:t>
      </w:r>
      <w:r>
        <w:rPr>
          <w:strike/>
        </w:rPr>
        <w:t xml:space="preserve">or</w:t>
      </w:r>
      <w:r>
        <w:t>))</w:t>
      </w:r>
      <w:r>
        <w:rPr/>
        <w:t xml:space="preserve"> (b) manifests severe deterioration in routine functioning evidenced by repeated and escalating loss of cognitive or volitional control over his or her actions and is not receiving such care as is essential for his or her health or safety; </w:t>
      </w:r>
      <w:r>
        <w:rPr>
          <w:u w:val="single"/>
        </w:rPr>
        <w:t xml:space="preserve">or (c) within the past 180 days has required revival by opioid overdose reversal medication to prevent a fatality or probable fatality;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"Tribe" has the same meaning as in RCW 71.24.025;</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18, 2024 c 209 s 6, and 2024 c 62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w:t>
      </w:r>
      <w:r>
        <w:t>((</w:t>
      </w:r>
      <w:r>
        <w:rPr>
          <w:strike/>
        </w:rPr>
        <w:t xml:space="preserve">or</w:t>
      </w:r>
      <w:r>
        <w:t>))</w:t>
      </w:r>
      <w:r>
        <w:rPr/>
        <w:t xml:space="preserve"> (b) manifests severe deterioration from safe behavior evidenced by repeated and escalating loss of cognitive or volitional control over his or her actions and is not receiving such care as is essential for his or her health or safety; </w:t>
      </w:r>
      <w:r>
        <w:rPr>
          <w:u w:val="single"/>
        </w:rPr>
        <w:t xml:space="preserve">or (c) within the past 180 days has required revival by opioid overdose reversal medication to prevent a fatality or probable fatality;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"Tribe" has the same meaning as in RCW 71.24.025;</w:t>
      </w:r>
    </w:p>
    <w:p>
      <w:pPr>
        <w:spacing w:before="0" w:after="0" w:line="408" w:lineRule="exact"/>
        <w:ind w:left="0" w:right="0" w:firstLine="576"/>
        <w:jc w:val="left"/>
      </w:pPr>
      <w:r>
        <w:rPr/>
        <w:t xml:space="preserve">(60)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(61) "Violent act" means behavior that resulted in homicide, attempted suicide, injury, or substantial loss or damage to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when section 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when the contingency in section 26, chapter 433, Laws of 2023 takes effect.</w:t>
      </w:r>
    </w:p>
    <w:p/>
    <w:p>
      <w:pPr>
        <w:jc w:val="center"/>
      </w:pPr>
      <w:r>
        <w:rPr>
          <w:b/>
        </w:rPr>
        <w:t>--- END ---</w:t>
      </w:r>
    </w:p>
    <w:sectPr>
      <w:pgNumType w:start="1"/>
      <w:footerReference xmlns:r="http://schemas.openxmlformats.org/officeDocument/2006/relationships" r:id="Rd9e09fecc05c4d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c6e56e3624164" /><Relationship Type="http://schemas.openxmlformats.org/officeDocument/2006/relationships/footer" Target="/word/footer1.xml" Id="Rd9e09fecc05c4dc0" /></Relationships>
</file>